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9" w:name="Xa65b52c9a9a1dc11eb570d012d4201de70be9e9"/>
    <w:p>
      <w:pPr>
        <w:pStyle w:val="Heading1"/>
      </w:pPr>
      <w:r>
        <w:t xml:space="preserve">Peer Review Report: Banker Performance Evaluation</w:t>
      </w:r>
    </w:p>
    <w:p>
      <w:pPr>
        <w:pStyle w:val="FirstParagraph"/>
      </w:pPr>
      <w:r>
        <w:rPr>
          <w:bCs/>
          <w:b/>
        </w:rPr>
        <w:t xml:space="preserve">Subject Role:</w:t>
      </w:r>
      <w:r>
        <w:t xml:space="preserve"> </w:t>
      </w:r>
      <w:r>
        <w:t xml:space="preserve">Senior Banker / Relationship Manager</w:t>
      </w:r>
    </w:p>
    <w:p>
      <w:pPr>
        <w:pStyle w:val="BodyText"/>
      </w:pPr>
      <w:r>
        <w:rPr>
          <w:bCs/>
          <w:b/>
        </w:rPr>
        <w:t xml:space="preserve">Location:</w:t>
      </w:r>
      <w:r>
        <w:t xml:space="preserve"> </w:t>
      </w:r>
      <w:r>
        <w:t xml:space="preserve">France Marseille (Méditerranée Region)</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Regional Operations Committee</w:t>
      </w:r>
    </w:p>
    <w:p>
      <w:pPr>
        <w:pStyle w:val="BodyText"/>
      </w:pPr>
      <w:r>
        <w:rPr>
          <w:bCs/>
          <w:b/>
        </w:rPr>
        <w:t xml:space="preserve">Date:</w:t>
      </w:r>
      <w:r>
        <w:t xml:space="preserve"> </w:t>
      </w:r>
      <w:r>
        <w:t xml:space="preserve">October 24, 2023</w:t>
      </w:r>
    </w:p>
    <w:p>
      <w:pPr>
        <w:pStyle w:val="BodyText"/>
      </w:pPr>
      <w:r>
        <w:rPr>
          <w:bCs/>
          <w:b/>
        </w:rPr>
        <w:t xml:space="preserve">Classification:</w:t>
      </w:r>
      <w:r>
        <w:t xml:space="preserve"> </w:t>
      </w:r>
      <w:r>
        <w:t xml:space="preserve">Internal Confidential</w:t>
      </w:r>
    </w:p>
    <w:bookmarkStart w:id="20" w:name="executive-summary"/>
    <w:p>
      <w:pPr>
        <w:pStyle w:val="Heading2"/>
      </w:pPr>
      <w:r>
        <w:t xml:space="preserve">1. Executive Summary</w:t>
      </w:r>
    </w:p>
    <w:p>
      <w:pPr>
        <w:pStyle w:val="FirstParagraph"/>
      </w:pPr>
      <w:r>
        <w:t xml:space="preserve">This Peer Review Report provides a comprehensive assessment of the professional performance, strategic alignment, and operational efficiency of the designated Banker operating within the France Marseille branch. The review focuses on the unique economic landscape of Marseille, a pivotal hub for Mediterranean trade, logistics, and emerging fintech innovation. The objective is to evaluate how effectively the Banker leverages local market dynamics to drive growth, manage risk, and maintain high standards of client service in accordance with French banking regulations and institutional goals.</w:t>
      </w:r>
    </w:p>
    <w:p>
      <w:pPr>
        <w:pStyle w:val="BodyText"/>
      </w:pPr>
      <w:r>
        <w:t xml:space="preserve">Overall, the Banker has demonstrated a robust understanding of the local ecosystem. However, this report highlights specific areas regarding cross-border trade facilitation and digital transformation adoption that require strategic refinement to fully capitalize on the opportunities presented by the Marseille Provence Metropolis.</w:t>
      </w:r>
    </w:p>
    <w:bookmarkEnd w:id="20"/>
    <w:bookmarkStart w:id="21" w:name="Xa054c36ad1537bfa4cb8c44978cac6ff6fa58e4"/>
    <w:p>
      <w:pPr>
        <w:pStyle w:val="Heading2"/>
      </w:pPr>
      <w:r>
        <w:t xml:space="preserve">2. Market Context: The France Marseille Ecosystem</w:t>
      </w:r>
    </w:p>
    <w:p>
      <w:pPr>
        <w:pStyle w:val="FirstParagraph"/>
      </w:pPr>
      <w:r>
        <w:t xml:space="preserve">To accurately assess the Banker's performance, one must consider the distinct characteristics of the France Marseille market. Unlike the Parisian financial center, which is heavily focused on corporate headquarters and investment banking, Marseille serves as the gateway to the Mediterranean. The local economy is driven by the Port of Marseille-Fos, the largest in France, as well as a growing sector of small-to-medium enterprises (SMEs) involved in logistics, tourism, and renewable energy.</w:t>
      </w:r>
    </w:p>
    <w:p>
      <w:pPr>
        <w:pStyle w:val="BodyText"/>
      </w:pPr>
      <w:r>
        <w:t xml:space="preserve">A successful Banker in this region must possess a dual competency: traditional relationship management suited for established local families and industrial firms, and modern trade finance expertise required for international shipping and import/export businesses. This review evaluates the subject's ability to navigate this specific duality.</w:t>
      </w:r>
    </w:p>
    <w:bookmarkEnd w:id="21"/>
    <w:bookmarkStart w:id="25" w:name="performance-analysis"/>
    <w:p>
      <w:pPr>
        <w:pStyle w:val="Heading2"/>
      </w:pPr>
      <w:r>
        <w:t xml:space="preserve">3. Performance Analysis</w:t>
      </w:r>
    </w:p>
    <w:bookmarkStart w:id="22" w:name="Xa008f2e6acb7f1cba39d7cc1833f3baa748fd84"/>
    <w:p>
      <w:pPr>
        <w:pStyle w:val="Heading3"/>
      </w:pPr>
      <w:r>
        <w:t xml:space="preserve">3.1 Client Relationship Management and Local Integration</w:t>
      </w:r>
    </w:p>
    <w:p>
      <w:pPr>
        <w:pStyle w:val="FirstParagraph"/>
      </w:pPr>
      <w:r>
        <w:t xml:space="preserve">The Banker has shown exceptional skill in cultivating relationships within the local business community. In France, and particularly in the South, banking is deeply relational. Trust is built through face-to-face interaction and cultural alignment. The subject has successfully integrated into the Marseille business network, evidenced by a 15% increase in retained client assets over the review period.</w:t>
      </w:r>
    </w:p>
    <w:p>
      <w:pPr>
        <w:pStyle w:val="BodyText"/>
      </w:pPr>
      <w:r>
        <w:t xml:space="preserve">Feedback from peer colleagues indicates that the Banker respects the nuances of French business etiquette while maintaining a proactive approach. The ability to communicate fluently in French, with a sensitivity to the local Provençal business culture, has been a significant asset in securing mandates from regional industrial clients.</w:t>
      </w:r>
    </w:p>
    <w:bookmarkEnd w:id="22"/>
    <w:bookmarkStart w:id="23" w:name="trade-finance-and-logistics-expertise"/>
    <w:p>
      <w:pPr>
        <w:pStyle w:val="Heading3"/>
      </w:pPr>
      <w:r>
        <w:t xml:space="preserve">3.2 Trade Finance and Logistics Expertise</w:t>
      </w:r>
    </w:p>
    <w:p>
      <w:pPr>
        <w:pStyle w:val="FirstParagraph"/>
      </w:pPr>
      <w:r>
        <w:t xml:space="preserve">Given Marseille's status as a major port city, trade finance is a critical metric for this role. The Banker has demonstrated competence in handling letters of credit and supply chain financing. However, the review identifies a need for greater agility in processing documentation for international shipments.</w:t>
      </w:r>
    </w:p>
    <w:p>
      <w:pPr>
        <w:pStyle w:val="BodyText"/>
      </w:pPr>
      <w:r>
        <w:t xml:space="preserve">While the volume of trade finance transactions has increased, the turnaround time for complex cross-border deals lags behind the regional average. In a competitive market like Marseille, where speed is essential for logistics companies, the Banker must streamline internal approval processes to better serve clients dealing with time-sensitive cargo operations.</w:t>
      </w:r>
    </w:p>
    <w:bookmarkEnd w:id="23"/>
    <w:bookmarkStart w:id="24" w:name="X101ecc4296dd6393e0a669a519e77b87c8106e0"/>
    <w:p>
      <w:pPr>
        <w:pStyle w:val="Heading3"/>
      </w:pPr>
      <w:r>
        <w:t xml:space="preserve">3.3 Regulatory Compliance and Risk Management</w:t>
      </w:r>
    </w:p>
    <w:p>
      <w:pPr>
        <w:pStyle w:val="FirstParagraph"/>
      </w:pPr>
      <w:r>
        <w:t xml:space="preserve">Operating in France requires strict adherence to regulations set by the Autorité de Contrôle Prudentiel et de Résolution (ACPR) and the Banque de France. The Banker has maintained a clean compliance record, showing a strong grasp of Anti-Money Laundering (AML) protocols.</w:t>
      </w:r>
    </w:p>
    <w:p>
      <w:pPr>
        <w:pStyle w:val="BodyText"/>
      </w:pPr>
      <w:r>
        <w:t xml:space="preserve">The subject effectively navigates the complexities of French labor laws and tax regulations when advising corporate clients. This technical proficiency reduces institutional risk and enhances the Banker's credibility as a trusted advisor. The peer review committee commends the diligence shown in due diligence processes, particularly regarding clients involved in international real estate development in the Bouches-du-Rhône department.</w:t>
      </w:r>
    </w:p>
    <w:bookmarkEnd w:id="24"/>
    <w:bookmarkEnd w:id="25"/>
    <w:bookmarkStart w:id="26" w:name="areas-for-improvement"/>
    <w:p>
      <w:pPr>
        <w:pStyle w:val="Heading2"/>
      </w:pPr>
      <w:r>
        <w:t xml:space="preserve">4. Areas for Improvement</w:t>
      </w:r>
    </w:p>
    <w:p>
      <w:pPr>
        <w:pStyle w:val="FirstParagraph"/>
      </w:pPr>
      <w:r>
        <w:t xml:space="preserve">Despite strong performance in traditional banking metrics, the following areas require attention to ensure long-term success in the evolving France Marseille market:</w:t>
      </w:r>
    </w:p>
    <w:p>
      <w:pPr>
        <w:numPr>
          <w:ilvl w:val="0"/>
          <w:numId w:val="1001"/>
        </w:numPr>
        <w:pStyle w:val="Compact"/>
      </w:pPr>
      <w:r>
        <w:rPr>
          <w:bCs/>
          <w:b/>
        </w:rPr>
        <w:t xml:space="preserve">Digital Adoption:</w:t>
      </w:r>
      <w:r>
        <w:t xml:space="preserve"> </w:t>
      </w:r>
      <w:r>
        <w:t xml:space="preserve">The Banker relies heavily on traditional communication methods. To attract the younger demographic of entrepreneurs in Marseille's growing startup ecosystem, there must be a greater emphasis on digital banking solutions and remote advisory tools.</w:t>
      </w:r>
    </w:p>
    <w:p>
      <w:pPr>
        <w:numPr>
          <w:ilvl w:val="0"/>
          <w:numId w:val="1001"/>
        </w:numPr>
        <w:pStyle w:val="Compact"/>
      </w:pPr>
      <w:r>
        <w:rPr>
          <w:bCs/>
          <w:b/>
        </w:rPr>
        <w:t xml:space="preserve">Green Finance:</w:t>
      </w:r>
      <w:r>
        <w:t xml:space="preserve"> </w:t>
      </w:r>
      <w:r>
        <w:t xml:space="preserve">Marseille is a leader in France for renewable energy projects (solar and wind). The Banker has yet to fully capitalize on the "Green Bond" market. Developing specialized products for sustainable energy clients is a missed opportunity.</w:t>
      </w:r>
    </w:p>
    <w:p>
      <w:pPr>
        <w:numPr>
          <w:ilvl w:val="0"/>
          <w:numId w:val="1001"/>
        </w:numPr>
        <w:pStyle w:val="Compact"/>
      </w:pPr>
      <w:r>
        <w:rPr>
          <w:bCs/>
          <w:b/>
        </w:rPr>
        <w:t xml:space="preserve">Inter-branch Collaboration:</w:t>
      </w:r>
      <w:r>
        <w:t xml:space="preserve"> </w:t>
      </w:r>
      <w:r>
        <w:t xml:space="preserve">There is a need for stronger collaboration with the Paris headquarters to leverage larger capital pools for major infrastructure projects in the Provence-Alpes-Côte d'Azur region.</w:t>
      </w:r>
    </w:p>
    <w:bookmarkEnd w:id="26"/>
    <w:bookmarkStart w:id="27" w:name="strategic-recommendations"/>
    <w:p>
      <w:pPr>
        <w:pStyle w:val="Heading2"/>
      </w:pPr>
      <w:r>
        <w:t xml:space="preserve">5. Strategic Recommendations</w:t>
      </w:r>
    </w:p>
    <w:p>
      <w:pPr>
        <w:pStyle w:val="FirstParagraph"/>
      </w:pPr>
      <w:r>
        <w:t xml:space="preserve">Based on the findings of this Peer Review Report, the following actions are recommended for the Banker:</w:t>
      </w:r>
    </w:p>
    <w:p>
      <w:pPr>
        <w:numPr>
          <w:ilvl w:val="0"/>
          <w:numId w:val="1002"/>
        </w:numPr>
        <w:pStyle w:val="Compact"/>
      </w:pPr>
      <w:r>
        <w:t xml:space="preserve">Enroll in advanced training regarding digital trade finance platforms to reduce processing times for port-related transactions.</w:t>
      </w:r>
    </w:p>
    <w:p>
      <w:pPr>
        <w:numPr>
          <w:ilvl w:val="0"/>
          <w:numId w:val="1002"/>
        </w:numPr>
        <w:pStyle w:val="Compact"/>
      </w:pPr>
      <w:r>
        <w:t xml:space="preserve">Develop a specialized portfolio focused on "Green Finance" to align with the environmental goals of the Marseille Provence Metropolis.</w:t>
      </w:r>
    </w:p>
    <w:p>
      <w:pPr>
        <w:numPr>
          <w:ilvl w:val="0"/>
          <w:numId w:val="1002"/>
        </w:numPr>
        <w:pStyle w:val="Compact"/>
      </w:pPr>
      <w:r>
        <w:t xml:space="preserve">Initiate quarterly networking events with local tech incubators to bridge the gap between traditional banking and the modern fintech sector in France.</w:t>
      </w:r>
    </w:p>
    <w:bookmarkEnd w:id="27"/>
    <w:bookmarkStart w:id="28" w:name="conclusion"/>
    <w:p>
      <w:pPr>
        <w:pStyle w:val="Heading2"/>
      </w:pPr>
      <w:r>
        <w:t xml:space="preserve">6. Conclusion</w:t>
      </w:r>
    </w:p>
    <w:p>
      <w:pPr>
        <w:pStyle w:val="FirstParagraph"/>
      </w:pPr>
      <w:r>
        <w:t xml:space="preserve">The Banker under review is a valuable asset to the institution's operations in France Marseille. Their deep understanding of the local culture and strong adherence to French regulatory standards provide a solid foundation for business continuity. By addressing the identified gaps in digital agility and sustainable finance, the Banker is well-positioned to elevate their performance and drive significant growth in this dynamic Mediterranean market.</w:t>
      </w:r>
    </w:p>
    <w:p>
      <w:pPr>
        <w:pStyle w:val="BodyText"/>
      </w:pPr>
      <w:r>
        <w:rPr>
          <w:bCs/>
          <w:b/>
        </w:rPr>
        <w:t xml:space="preserve">Overall Rating:</w:t>
      </w:r>
      <w:r>
        <w:t xml:space="preserve"> </w:t>
      </w:r>
      <w:r>
        <w:t xml:space="preserve">Exceeds Expectations (with conditions)</w:t>
      </w:r>
    </w:p>
    <w:p>
      <w:pPr>
        <w:pStyle w:val="BodyText"/>
      </w:pPr>
      <w:r>
        <w:t xml:space="preserve">This document is an internal Peer Review Report generated for professional evaluation purposes. It is not intended for public distribution.</w:t>
      </w:r>
    </w:p>
    <w:p>
      <w:pPr>
        <w:pStyle w:val="BodyText"/>
      </w:pPr>
      <w:r>
        <w:t xml:space="preserve">© 2023 Regional Banking Operations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France Marseille</dc:title>
  <dc:creator/>
  <dc:language>en</dc:language>
  <cp:keywords/>
  <dcterms:created xsi:type="dcterms:W3CDTF">2026-10-10T04:34:45Z</dcterms:created>
  <dcterms:modified xsi:type="dcterms:W3CDTF">2026-10-10T04:34:45Z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