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t xml:space="preserve">Professional Competency Assessment for Banking Sector Personnel</w:t>
      </w:r>
    </w:p>
    <w:bookmarkEnd w:id="20"/>
    <w:p>
      <w:pPr>
        <w:pStyle w:val="BodyText"/>
      </w:pPr>
      <w:r>
        <w:t xml:space="preserve">Subject Role:</w:t>
      </w:r>
      <w:r>
        <w:t xml:space="preserve"> </w:t>
      </w:r>
      <w:r>
        <w:t xml:space="preserve">Banker (Corporate &amp; Investment Banking)</w:t>
      </w:r>
    </w:p>
    <w:p>
      <w:pPr>
        <w:pStyle w:val="BodyText"/>
      </w:pPr>
      <w:r>
        <w:t xml:space="preserve">Location:</w:t>
      </w:r>
      <w:r>
        <w:t xml:space="preserve"> </w:t>
      </w:r>
      <w:r>
        <w:t xml:space="preserve">Germany Munich</w:t>
      </w:r>
    </w:p>
    <w:p>
      <w:pPr>
        <w:pStyle w:val="BodyText"/>
      </w:pPr>
      <w:r>
        <w:t xml:space="preserve">Review Period:</w:t>
      </w:r>
      <w:r>
        <w:t xml:space="preserve"> </w:t>
      </w:r>
      <w:r>
        <w:t xml:space="preserve">Q1 2023 - Q4 2023</w:t>
      </w:r>
    </w:p>
    <w:p>
      <w:pPr>
        <w:pStyle w:val="BodyText"/>
      </w:pPr>
      <w:r>
        <w:t xml:space="preserve">Report ID:</w:t>
      </w:r>
      <w:r>
        <w:t xml:space="preserve"> </w:t>
      </w:r>
      <w:r>
        <w:t xml:space="preserve">PR-MUC-2023-8842</w:t>
      </w:r>
    </w:p>
    <w:p>
      <w:pPr>
        <w:pStyle w:val="BodyText"/>
      </w:pPr>
      <w:r>
        <w:t xml:space="preserve">Date:</w:t>
      </w:r>
      <w:r>
        <w:t xml:space="preserve"> </w:t>
      </w:r>
      <w:r>
        <w:t xml:space="preserve">January 15, 2024</w:t>
      </w:r>
    </w:p>
    <w:p>
      <w:pPr>
        <w:pStyle w:val="BodyText"/>
      </w:pPr>
      <w: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acumen, and cultural integration of a</w:t>
      </w:r>
      <w:r>
        <w:t xml:space="preserve"> </w:t>
      </w:r>
      <w:r>
        <w:rPr>
          <w:bCs/>
          <w:b/>
        </w:rPr>
        <w:t xml:space="preserve">Banker</w:t>
      </w:r>
      <w:r>
        <w:t xml:space="preserve"> </w:t>
      </w:r>
      <w:r>
        <w:t xml:space="preserve">operating within the financial district of</w:t>
      </w:r>
      <w:r>
        <w:t xml:space="preserve"> </w:t>
      </w:r>
      <w:r>
        <w:rPr>
          <w:bCs/>
          <w:b/>
        </w:rPr>
        <w:t xml:space="preserve">Germany Munich</w:t>
      </w:r>
      <w:r>
        <w:t xml:space="preserve">. Munich is widely recognized as the financial capital of Southern Germany, hosting major institutions such as Munich Re and Allianz, alongside a robust ecosystem of Mittelstand enterprises. Consequently, the expectations for a</w:t>
      </w:r>
      <w:r>
        <w:t xml:space="preserve"> </w:t>
      </w:r>
      <w:r>
        <w:rPr>
          <w:bCs/>
          <w:b/>
        </w:rPr>
        <w:t xml:space="preserve">Banker</w:t>
      </w:r>
      <w:r>
        <w:t xml:space="preserve"> </w:t>
      </w:r>
      <w:r>
        <w:t xml:space="preserve">in this region are exceptionally high, requiring a blend of rigorous quantitative analysis, strict regulatory adherence, and sophisticated client relationship management.</w:t>
      </w:r>
    </w:p>
    <w:p>
      <w:pPr>
        <w:pStyle w:val="BodyText"/>
      </w:pPr>
      <w:r>
        <w:t xml:space="preserve">The purpose of this review is to assess the subject's alignment with the strategic goals of the institution and their ability to navigate the unique economic landscape of Bavaria. The evaluation is based on 360-degree feedback from colleagues, direct supervisors, and cross-functional partners. The overall assessment indicates a strong performance, particularly in credit risk analysis and local market knowledge, though specific areas regarding cross-cultural communication and digital transformation adoption require attention.</w:t>
      </w:r>
    </w:p>
    <w:bookmarkEnd w:id="21"/>
    <w:bookmarkStart w:id="22" w:name="X29aedffafe07fa32c4761a16e4a0cf5aae1a0e8"/>
    <w:p>
      <w:pPr>
        <w:pStyle w:val="Heading2"/>
      </w:pPr>
      <w:r>
        <w:t xml:space="preserve">2. Contextual Analysis: The Munich Banking Environment</w:t>
      </w:r>
    </w:p>
    <w:p>
      <w:pPr>
        <w:pStyle w:val="FirstParagraph"/>
      </w:pPr>
      <w:r>
        <w:t xml:space="preserve">To accurately evaluate a</w:t>
      </w:r>
      <w:r>
        <w:t xml:space="preserve"> </w:t>
      </w:r>
      <w:r>
        <w:rPr>
          <w:bCs/>
          <w:b/>
        </w:rPr>
        <w:t xml:space="preserve">Banker</w:t>
      </w:r>
      <w:r>
        <w:t xml:space="preserve"> </w:t>
      </w:r>
      <w:r>
        <w:t xml:space="preserve">in</w:t>
      </w:r>
      <w:r>
        <w:t xml:space="preserve"> </w:t>
      </w:r>
      <w:r>
        <w:rPr>
          <w:bCs/>
          <w:b/>
        </w:rPr>
        <w:t xml:space="preserve">Germany Munich</w:t>
      </w:r>
      <w:r>
        <w:t xml:space="preserve">, one must understand the specific constraints and opportunities of the locale. Unlike the high-frequency trading focus of London or New York, the Munich market is deeply rooted in long-term industrial partnerships and sustainable finance. A</w:t>
      </w:r>
      <w:r>
        <w:t xml:space="preserve"> </w:t>
      </w:r>
      <w:r>
        <w:rPr>
          <w:bCs/>
          <w:b/>
        </w:rPr>
        <w:t xml:space="preserve">Banker</w:t>
      </w:r>
      <w:r>
        <w:t xml:space="preserve"> </w:t>
      </w:r>
      <w:r>
        <w:t xml:space="preserve">here is expected to possess deep knowledge of the automotive, engineering, and insurance sectors that dominate the regional economy.</w:t>
      </w:r>
    </w:p>
    <w:p>
      <w:pPr>
        <w:pStyle w:val="BodyText"/>
      </w:pPr>
      <w:r>
        <w:t xml:space="preserve">Furthermore, the regulatory environment in Germany is stringent. Compliance with BaFin (Federal Financial Supervisory Authority) regulations and the implementation of GDPR (General Data Protection Regulation) are not merely administrative tasks but core competencies. This</w:t>
      </w:r>
      <w:r>
        <w:t xml:space="preserve"> </w:t>
      </w:r>
      <w:r>
        <w:rPr>
          <w:bCs/>
          <w:b/>
        </w:rPr>
        <w:t xml:space="preserve">Peer Review Report</w:t>
      </w:r>
      <w:r>
        <w:t xml:space="preserve"> </w:t>
      </w:r>
      <w:r>
        <w:t xml:space="preserve">scrutinizes how effectively the subject integrates these compliance frameworks into daily banking operations without stifling business agility.</w:t>
      </w:r>
    </w:p>
    <w:bookmarkEnd w:id="22"/>
    <w:bookmarkStart w:id="23" w:name="performance-evaluation-criteria"/>
    <w:p>
      <w:pPr>
        <w:pStyle w:val="Heading2"/>
      </w:pPr>
      <w:r>
        <w:t xml:space="preserve">3. Performance Evaluation Criteria</w:t>
      </w:r>
    </w:p>
    <w:p>
      <w:pPr>
        <w:pStyle w:val="FirstParagraph"/>
      </w:pPr>
      <w:r>
        <w:t xml:space="preserve">The following metrics were utilized to assess the</w:t>
      </w:r>
      <w:r>
        <w:t xml:space="preserve"> </w:t>
      </w:r>
      <w:r>
        <w:rPr>
          <w:bCs/>
          <w:b/>
        </w:rPr>
        <w:t xml:space="preserve">Banker</w:t>
      </w:r>
      <w:r>
        <w:t xml:space="preserve">'s performance. Each category is rated on a scale of 1 to 5, where 5 represents exceptional performance exceeding the standards expected in the Munich financial sector.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Assessment Notes</w:t>
            </w:r>
          </w:p>
        </w:tc>
      </w:tr>
      <w:tr>
        <w:tc>
          <w:tcPr/>
          <w:p>
            <w:pPr>
              <w:pStyle w:val="Compact"/>
              <w:jc w:val="left"/>
            </w:pPr>
            <w:r>
              <w:rPr>
                <w:bCs/>
                <w:b/>
              </w:rPr>
              <w:t xml:space="preserve">Technical Banking Expertise</w:t>
            </w:r>
          </w:p>
        </w:tc>
        <w:tc>
          <w:tcPr/>
          <w:p>
            <w:pPr>
              <w:pStyle w:val="Compact"/>
              <w:jc w:val="left"/>
            </w:pPr>
            <w:r>
              <w:t xml:space="preserve">5</w:t>
            </w:r>
          </w:p>
        </w:tc>
        <w:tc>
          <w:tcPr/>
          <w:p>
            <w:pPr>
              <w:pStyle w:val="Compact"/>
              <w:jc w:val="left"/>
            </w:pPr>
            <w:r>
              <w:t xml:space="preserve">Demonstrates superior understanding of credit derivatives and corporate lending structures relevant to the Bavarian industrial base.</w:t>
            </w:r>
          </w:p>
        </w:tc>
      </w:tr>
      <w:tr>
        <w:tc>
          <w:tcPr/>
          <w:p>
            <w:pPr>
              <w:pStyle w:val="Compact"/>
              <w:jc w:val="left"/>
            </w:pPr>
            <w:r>
              <w:rPr>
                <w:bCs/>
                <w:b/>
              </w:rPr>
              <w:t xml:space="preserve">Regulatory Compliance &amp; Risk</w:t>
            </w:r>
          </w:p>
        </w:tc>
        <w:tc>
          <w:tcPr/>
          <w:p>
            <w:pPr>
              <w:pStyle w:val="Compact"/>
              <w:jc w:val="left"/>
            </w:pPr>
            <w:r>
              <w:t xml:space="preserve">5</w:t>
            </w:r>
          </w:p>
        </w:tc>
        <w:tc>
          <w:tcPr/>
          <w:p>
            <w:pPr>
              <w:pStyle w:val="Compact"/>
              <w:jc w:val="left"/>
            </w:pPr>
            <w:r>
              <w:t xml:space="preserve">Exemplary adherence to German banking laws. Proactively identifies potential compliance risks in client portfolios.</w:t>
            </w:r>
          </w:p>
        </w:tc>
      </w:tr>
      <w:tr>
        <w:tc>
          <w:tcPr/>
          <w:p>
            <w:pPr>
              <w:pStyle w:val="Compact"/>
              <w:jc w:val="left"/>
            </w:pPr>
            <w:r>
              <w:rPr>
                <w:bCs/>
                <w:b/>
              </w:rPr>
              <w:t xml:space="preserve">Client Relationship Management</w:t>
            </w:r>
          </w:p>
        </w:tc>
        <w:tc>
          <w:tcPr/>
          <w:p>
            <w:pPr>
              <w:pStyle w:val="Compact"/>
              <w:jc w:val="left"/>
            </w:pPr>
            <w:r>
              <w:t xml:space="preserve">4</w:t>
            </w:r>
          </w:p>
        </w:tc>
        <w:tc>
          <w:tcPr/>
          <w:p>
            <w:pPr>
              <w:pStyle w:val="Compact"/>
              <w:jc w:val="left"/>
            </w:pPr>
            <w:r>
              <w:t xml:space="preserve">Strong rapport with local clients. However, could improve in managing expectations during periods of market volatility.</w:t>
            </w:r>
          </w:p>
        </w:tc>
      </w:tr>
      <w:tr>
        <w:tc>
          <w:tcPr/>
          <w:p>
            <w:pPr>
              <w:pStyle w:val="Compact"/>
              <w:jc w:val="left"/>
            </w:pPr>
            <w:r>
              <w:rPr>
                <w:bCs/>
                <w:b/>
              </w:rPr>
              <w:t xml:space="preserve">Collaboration &amp; Teamwork</w:t>
            </w:r>
          </w:p>
        </w:tc>
        <w:tc>
          <w:tcPr/>
          <w:p>
            <w:pPr>
              <w:pStyle w:val="Compact"/>
              <w:jc w:val="left"/>
            </w:pPr>
            <w:r>
              <w:t xml:space="preserve">5</w:t>
            </w:r>
          </w:p>
        </w:tc>
        <w:tc>
          <w:tcPr/>
          <w:p>
            <w:pPr>
              <w:pStyle w:val="Compact"/>
              <w:jc w:val="left"/>
            </w:pPr>
            <w:r>
              <w:t xml:space="preserve">Highly regarded by peers. Frequently assists junior analysts in understanding complex German tax implications on investments.</w:t>
            </w:r>
          </w:p>
        </w:tc>
      </w:tr>
      <w:tr>
        <w:tc>
          <w:tcPr/>
          <w:p>
            <w:pPr>
              <w:pStyle w:val="Compact"/>
              <w:jc w:val="left"/>
            </w:pPr>
            <w:r>
              <w:rPr>
                <w:bCs/>
                <w:b/>
              </w:rPr>
              <w:t xml:space="preserve">Digital Adaptability</w:t>
            </w:r>
          </w:p>
        </w:tc>
        <w:tc>
          <w:tcPr/>
          <w:p>
            <w:pPr>
              <w:pStyle w:val="Compact"/>
              <w:jc w:val="left"/>
            </w:pPr>
            <w:r>
              <w:t xml:space="preserve">3</w:t>
            </w:r>
          </w:p>
        </w:tc>
        <w:tc>
          <w:tcPr/>
          <w:p>
            <w:pPr>
              <w:pStyle w:val="Compact"/>
              <w:jc w:val="left"/>
            </w:pPr>
            <w:r>
              <w:t xml:space="preserve">Reluctant to fully utilize new fintech integration tools. Needs to align more closely with the bank's digital transformation strategy.</w:t>
            </w:r>
          </w:p>
        </w:tc>
      </w:tr>
      <w:tr>
        <w:tc>
          <w:tcPr/>
          <w:p>
            <w:pPr>
              <w:pStyle w:val="Compact"/>
              <w:jc w:val="left"/>
            </w:pPr>
            <w:r>
              <w:rPr>
                <w:bCs/>
                <w:b/>
              </w:rPr>
              <w:t xml:space="preserve">Language &amp; Communication</w:t>
            </w:r>
          </w:p>
        </w:tc>
        <w:tc>
          <w:tcPr/>
          <w:p>
            <w:pPr>
              <w:pStyle w:val="Compact"/>
              <w:jc w:val="left"/>
            </w:pPr>
            <w:r>
              <w:t xml:space="preserve">4</w:t>
            </w:r>
          </w:p>
        </w:tc>
        <w:tc>
          <w:tcPr/>
          <w:p>
            <w:pPr>
              <w:pStyle w:val="Compact"/>
              <w:jc w:val="left"/>
            </w:pPr>
            <w:r>
              <w:t xml:space="preserve">Fluent in English and German. Business German is precise, though occasional nuances in high-stakes negotiations could be refined.</w:t>
            </w:r>
          </w:p>
        </w:tc>
      </w:tr>
    </w:tbl>
    <w:bookmarkEnd w:id="23"/>
    <w:bookmarkStart w:id="27" w:name="detailed-observations"/>
    <w:p>
      <w:pPr>
        <w:pStyle w:val="Heading2"/>
      </w:pPr>
      <w:r>
        <w:t xml:space="preserve">4. Detailed Observations</w:t>
      </w:r>
    </w:p>
    <w:bookmarkStart w:id="24" w:name="X943be6fe8fdacb75ce1be701866146f3c605b0d"/>
    <w:p>
      <w:pPr>
        <w:pStyle w:val="Heading3"/>
      </w:pPr>
      <w:r>
        <w:t xml:space="preserve">4.1. Strategic Alignment with Munich Market Trends</w:t>
      </w:r>
    </w:p>
    <w:p>
      <w:pPr>
        <w:pStyle w:val="FirstParagraph"/>
      </w:pPr>
      <w:r>
        <w:t xml:space="preserve">The</w:t>
      </w:r>
      <w:r>
        <w:t xml:space="preserve"> </w:t>
      </w:r>
      <w:r>
        <w:rPr>
          <w:bCs/>
          <w:b/>
        </w:rPr>
        <w:t xml:space="preserve">Banker</w:t>
      </w:r>
      <w:r>
        <w:t xml:space="preserve"> </w:t>
      </w:r>
      <w:r>
        <w:t xml:space="preserve">has shown a commendable ability to align client portfolios with the shifting economic tides of</w:t>
      </w:r>
      <w:r>
        <w:t xml:space="preserve"> </w:t>
      </w:r>
      <w:r>
        <w:rPr>
          <w:bCs/>
          <w:b/>
        </w:rPr>
        <w:t xml:space="preserve">Germany Munich</w:t>
      </w:r>
      <w:r>
        <w:t xml:space="preserve">. Specifically, the subject has been instrumental in advising clients on the transition toward green finance, a critical priority for the region given the environmental standards enforced by the Bavarian government. The ability to structure loans that comply with ESG (Environmental, Social, and Governance) criteria while maintaining profitability is a key differentiator in the current Munich market. This</w:t>
      </w:r>
      <w:r>
        <w:t xml:space="preserve"> </w:t>
      </w:r>
      <w:r>
        <w:rPr>
          <w:bCs/>
          <w:b/>
        </w:rPr>
        <w:t xml:space="preserve">Peer Review Report</w:t>
      </w:r>
      <w:r>
        <w:t xml:space="preserve"> </w:t>
      </w:r>
      <w:r>
        <w:t xml:space="preserve">highlights this as a significant strength, noting that the subject's advice has directly contributed to retaining three major manufacturing clients.</w:t>
      </w:r>
    </w:p>
    <w:bookmarkEnd w:id="24"/>
    <w:bookmarkStart w:id="25" w:name="interpersonal-dynamics-and-cultural-fit"/>
    <w:p>
      <w:pPr>
        <w:pStyle w:val="Heading3"/>
      </w:pPr>
      <w:r>
        <w:t xml:space="preserve">4.2. Interpersonal Dynamics and Cultural Fit</w:t>
      </w:r>
    </w:p>
    <w:p>
      <w:pPr>
        <w:pStyle w:val="FirstParagraph"/>
      </w:pPr>
      <w:r>
        <w:t xml:space="preserve">Working as a</w:t>
      </w:r>
      <w:r>
        <w:t xml:space="preserve"> </w:t>
      </w:r>
      <w:r>
        <w:rPr>
          <w:bCs/>
          <w:b/>
        </w:rPr>
        <w:t xml:space="preserve">Banker</w:t>
      </w:r>
      <w:r>
        <w:t xml:space="preserve"> </w:t>
      </w:r>
      <w:r>
        <w:t xml:space="preserve">in Germany requires a specific cultural approach characterized by precision, punctuality, and directness. The subject has successfully adapted to these norms. Peers report that the</w:t>
      </w:r>
      <w:r>
        <w:t xml:space="preserve"> </w:t>
      </w:r>
      <w:r>
        <w:rPr>
          <w:bCs/>
          <w:b/>
        </w:rPr>
        <w:t xml:space="preserve">Banker</w:t>
      </w:r>
      <w:r>
        <w:t xml:space="preserve"> </w:t>
      </w:r>
      <w:r>
        <w:t xml:space="preserve">is reliable and delivers on promises, which is paramount in the German business culture. However, feedback suggests that in high-pressure situations, the subject may become overly reserved. In the collaborative environment of a Munich bank, where consensus-building is often necessary before executing large transactions, a more assertive communication style during internal debates would be beneficial.</w:t>
      </w:r>
    </w:p>
    <w:bookmarkEnd w:id="25"/>
    <w:bookmarkStart w:id="26" w:name="operational-efficiency-and-innovation"/>
    <w:p>
      <w:pPr>
        <w:pStyle w:val="Heading3"/>
      </w:pPr>
      <w:r>
        <w:t xml:space="preserve">4.3. Operational Efficiency and Innovation</w:t>
      </w:r>
    </w:p>
    <w:p>
      <w:pPr>
        <w:pStyle w:val="FirstParagraph"/>
      </w:pPr>
      <w:r>
        <w:t xml:space="preserve">While the subject excels in traditional banking metrics, this</w:t>
      </w:r>
      <w:r>
        <w:t xml:space="preserve"> </w:t>
      </w:r>
      <w:r>
        <w:rPr>
          <w:bCs/>
          <w:b/>
        </w:rPr>
        <w:t xml:space="preserve">Peer Review Report</w:t>
      </w:r>
      <w:r>
        <w:t xml:space="preserve"> </w:t>
      </w:r>
      <w:r>
        <w:t xml:space="preserve">identifies a gap in operational innovation. The banking sector in</w:t>
      </w:r>
      <w:r>
        <w:t xml:space="preserve"> </w:t>
      </w:r>
      <w:r>
        <w:rPr>
          <w:bCs/>
          <w:b/>
        </w:rPr>
        <w:t xml:space="preserve">Germany Munich</w:t>
      </w:r>
      <w:r>
        <w:t xml:space="preserve"> </w:t>
      </w:r>
      <w:r>
        <w:t xml:space="preserve">is increasingly adopting AI-driven analytics for credit scoring and fraud detection. The subject has been slow to integrate these tools into their workflow, relying instead on manual verification processes. While this ensures accuracy, it reduces efficiency compared to peers who have embraced the bank's new digital platforms. To remain competitive, the</w:t>
      </w:r>
      <w:r>
        <w:t xml:space="preserve"> </w:t>
      </w:r>
      <w:r>
        <w:rPr>
          <w:bCs/>
          <w:b/>
        </w:rPr>
        <w:t xml:space="preserve">Banker</w:t>
      </w:r>
      <w:r>
        <w:t xml:space="preserve"> </w:t>
      </w:r>
      <w:r>
        <w:t xml:space="preserve">must demonstrate a willingness to upskill in fintech applications.</w:t>
      </w:r>
    </w:p>
    <w:bookmarkEnd w:id="26"/>
    <w:bookmarkEnd w:id="27"/>
    <w:bookmarkStart w:id="28" w:name="recommendations-and-development-plan"/>
    <w:p>
      <w:pPr>
        <w:pStyle w:val="Heading2"/>
      </w:pPr>
      <w:r>
        <w:t xml:space="preserve">5. Recommendations and Development Plan</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Banker</w:t>
      </w:r>
      <w:r>
        <w:t xml:space="preserve"> </w:t>
      </w:r>
      <w:r>
        <w:t xml:space="preserve">to enhance their performance within the</w:t>
      </w:r>
      <w:r>
        <w:t xml:space="preserve"> </w:t>
      </w:r>
      <w:r>
        <w:rPr>
          <w:bCs/>
          <w:b/>
        </w:rPr>
        <w:t xml:space="preserve">Germany Munich</w:t>
      </w:r>
      <w:r>
        <w:t xml:space="preserve"> </w:t>
      </w:r>
      <w:r>
        <w:t xml:space="preserve">branch:</w:t>
      </w:r>
    </w:p>
    <w:p>
      <w:pPr>
        <w:numPr>
          <w:ilvl w:val="0"/>
          <w:numId w:val="1001"/>
        </w:numPr>
        <w:pStyle w:val="Compact"/>
      </w:pPr>
      <w:r>
        <w:rPr>
          <w:bCs/>
          <w:b/>
        </w:rPr>
        <w:t xml:space="preserve">Digital Upskilling:</w:t>
      </w:r>
      <w:r>
        <w:t xml:space="preserve"> </w:t>
      </w:r>
      <w:r>
        <w:t xml:space="preserve">Enroll in the bank's advanced fintech certification program by Q2 2024 to improve proficiency with automated risk assessment tools.</w:t>
      </w:r>
    </w:p>
    <w:p>
      <w:pPr>
        <w:numPr>
          <w:ilvl w:val="0"/>
          <w:numId w:val="1001"/>
        </w:numPr>
        <w:pStyle w:val="Compact"/>
      </w:pPr>
      <w:r>
        <w:rPr>
          <w:bCs/>
          <w:b/>
        </w:rPr>
        <w:t xml:space="preserve">Leadership Training:</w:t>
      </w:r>
      <w:r>
        <w:t xml:space="preserve"> </w:t>
      </w:r>
      <w:r>
        <w:t xml:space="preserve">Participate in workshops focused on assertive communication and conflict resolution to better navigate internal stakeholder management.</w:t>
      </w:r>
    </w:p>
    <w:p>
      <w:pPr>
        <w:numPr>
          <w:ilvl w:val="0"/>
          <w:numId w:val="1001"/>
        </w:numPr>
        <w:pStyle w:val="Compact"/>
      </w:pPr>
      <w:r>
        <w:rPr>
          <w:bCs/>
          <w:b/>
        </w:rPr>
        <w:t xml:space="preserve">Network Expansion:</w:t>
      </w:r>
      <w:r>
        <w:t xml:space="preserve"> </w:t>
      </w:r>
      <w:r>
        <w:t xml:space="preserve">Actively engage with the Munich Chamber of Commerce and Industry (IHK) to deepen relationships with emerging startups in the tech sector, diversifying the client base beyond traditional manufacturing.</w:t>
      </w:r>
    </w:p>
    <w:p>
      <w:pPr>
        <w:numPr>
          <w:ilvl w:val="0"/>
          <w:numId w:val="1001"/>
        </w:numPr>
        <w:pStyle w:val="Compact"/>
      </w:pPr>
      <w:r>
        <w:rPr>
          <w:bCs/>
          <w:b/>
        </w:rPr>
        <w:t xml:space="preserve">Mentorship:</w:t>
      </w:r>
      <w:r>
        <w:t xml:space="preserve"> </w:t>
      </w:r>
      <w:r>
        <w:t xml:space="preserve">Continue the current mentorship of junior staff, as this is a highly valued contribution to the team's overall competency.</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w:t>
      </w:r>
      <w:r>
        <w:t xml:space="preserve"> </w:t>
      </w:r>
      <w:r>
        <w:rPr>
          <w:bCs/>
          <w:b/>
        </w:rPr>
        <w:t xml:space="preserve">Banker</w:t>
      </w:r>
      <w:r>
        <w:t xml:space="preserve"> </w:t>
      </w:r>
      <w:r>
        <w:t xml:space="preserve">who adds significant value to the institution's operations in</w:t>
      </w:r>
      <w:r>
        <w:t xml:space="preserve"> </w:t>
      </w:r>
      <w:r>
        <w:rPr>
          <w:bCs/>
          <w:b/>
        </w:rPr>
        <w:t xml:space="preserve">Germany Munich</w:t>
      </w:r>
      <w:r>
        <w:t xml:space="preserve">. Their technical expertise and understanding of the local regulatory landscape are exemplary. By addressing the identified areas for improvement, particularly regarding digital adoption and communication dynamics, the subject is well-positioned for career advancement and continued success in the competitive Munich financial market.</w:t>
      </w:r>
    </w:p>
    <w:p>
      <w:pPr>
        <w:pStyle w:val="BodyText"/>
      </w:pPr>
      <w:r>
        <w:rPr>
          <w:bCs/>
          <w:b/>
        </w:rPr>
        <w:t xml:space="preserve">Reviewed By:</w:t>
      </w:r>
      <w:r>
        <w:t xml:space="preserve"> </w:t>
      </w:r>
      <w:r>
        <w:t xml:space="preserve">[Name Redacted]</w:t>
      </w:r>
    </w:p>
    <w:p>
      <w:pPr>
        <w:pStyle w:val="BodyText"/>
      </w:pPr>
      <w:r>
        <w:t xml:space="preserve">Senior Vice President, Corporate Banking</w:t>
      </w:r>
    </w:p>
    <w:p>
      <w:pPr>
        <w:pStyle w:val="BodyText"/>
      </w:pPr>
      <w:r>
        <w:t xml:space="preserve">Munich Branch</w:t>
      </w:r>
    </w:p>
    <w:p>
      <w:pPr>
        <w:pStyle w:val="BodyText"/>
      </w:pPr>
      <w:r>
        <w:rPr>
          <w:bCs/>
          <w:b/>
        </w:rPr>
        <w:t xml:space="preserve">Subject Acknowledgement:</w:t>
      </w:r>
    </w:p>
    <w:p>
      <w:pPr>
        <w:pStyle w:val="BodyText"/>
      </w:pPr>
      <w:r>
        <w:t xml:space="preserve">Signature: ____________________</w:t>
      </w:r>
    </w:p>
    <w:p>
      <w:pPr>
        <w:pStyle w:val="BodyText"/>
      </w:pPr>
      <w:r>
        <w:t xml:space="preserve">Date: ____________________</w:t>
      </w:r>
    </w:p>
    <w:p>
      <w:pPr>
        <w:pStyle w:val="BodyText"/>
      </w:pPr>
      <w:r>
        <w:t xml:space="preserve">© 2024 Internal Human Resources Department. This document is confidential and intended solely for the use of the individual or entity to whom it is addressed.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Munich, Germany</dc:title>
  <dc:creator/>
  <dc:language>en</dc:language>
  <cp:keywords/>
  <dcterms:created xsi:type="dcterms:W3CDTF">2026-10-10T06:21:03Z</dcterms:created>
  <dcterms:modified xsi:type="dcterms:W3CDTF">2026-10-10T06:21:03Z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