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Banker Performance</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Regional Audit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technical proficiency, and strategic alignment of a Banker operating within the financial district of Israel Jerusalem. The purpose of this document is to assess the individual’s adherence to banking regulations, their contribution to the local financial ecosystem, and their ability to navigate the unique socio-economic landscape of the region. The review process involved a detailed analysis of transaction records, client feedback, compliance audits, and peer observations conducted over the last fiscal quarter.</w:t>
      </w:r>
    </w:p>
    <w:p>
      <w:pPr>
        <w:pStyle w:val="BodyText"/>
      </w:pPr>
      <w:r>
        <w:t xml:space="preserve">The findings indicate that the Banker has demonstrated a high level of competence in managing complex financial portfolios while maintaining strict adherence to the regulatory frameworks established by the Bank of Israel. However, there are specific areas regarding cross-cultural communication and digital transformation adoption that require further attention to ensure optimal performance in the competitive environment of Israel Jerusalem.</w:t>
      </w:r>
    </w:p>
    <w:bookmarkEnd w:id="21"/>
    <w:bookmarkStart w:id="22" w:name="introduction-and-scope"/>
    <w:p>
      <w:pPr>
        <w:pStyle w:val="Heading2"/>
      </w:pPr>
      <w:r>
        <w:t xml:space="preserve">2. Introduction and Scope</w:t>
      </w:r>
    </w:p>
    <w:p>
      <w:pPr>
        <w:pStyle w:val="FirstParagraph"/>
      </w:pPr>
      <w:r>
        <w:t xml:space="preserve">The role of a Banker in Israel Jerusalem is multifaceted, requiring not only financial acumen but also a deep understanding of the local market dynamics. This Peer Review Report focuses on the following key areas:</w:t>
      </w:r>
    </w:p>
    <w:p>
      <w:pPr>
        <w:numPr>
          <w:ilvl w:val="0"/>
          <w:numId w:val="1001"/>
        </w:numPr>
        <w:pStyle w:val="Compact"/>
      </w:pPr>
      <w:r>
        <w:t xml:space="preserve">Regulatory Compliance and Risk Management.</w:t>
      </w:r>
    </w:p>
    <w:p>
      <w:pPr>
        <w:numPr>
          <w:ilvl w:val="0"/>
          <w:numId w:val="1001"/>
        </w:numPr>
        <w:pStyle w:val="Compact"/>
      </w:pPr>
      <w:r>
        <w:t xml:space="preserve">Client Relationship Management and Service Quality.</w:t>
      </w:r>
    </w:p>
    <w:p>
      <w:pPr>
        <w:numPr>
          <w:ilvl w:val="0"/>
          <w:numId w:val="1001"/>
        </w:numPr>
        <w:pStyle w:val="Compact"/>
      </w:pPr>
      <w:r>
        <w:t xml:space="preserve">Strategic Contribution to the Bank’s Goals in the Jerusalem Region.</w:t>
      </w:r>
    </w:p>
    <w:p>
      <w:pPr>
        <w:numPr>
          <w:ilvl w:val="0"/>
          <w:numId w:val="1001"/>
        </w:numPr>
        <w:pStyle w:val="Compact"/>
      </w:pPr>
      <w:r>
        <w:t xml:space="preserve">Adaptability to Technological Innovations.</w:t>
      </w:r>
    </w:p>
    <w:p>
      <w:pPr>
        <w:pStyle w:val="FirstParagraph"/>
      </w:pPr>
      <w:r>
        <w:t xml:space="preserve">The scope of this review is limited to the Banker’s activities within the Jerusalem branch network and their interactions with local corporate and retail clients. The evaluation criteria are aligned with international banking standards as well as specific local requirements mandated by Israeli financial authorities.</w:t>
      </w:r>
    </w:p>
    <w:bookmarkEnd w:id="22"/>
    <w:bookmarkStart w:id="23" w:name="X101ecc4296dd6393e0a669a519e77b87c8106e0"/>
    <w:p>
      <w:pPr>
        <w:pStyle w:val="Heading2"/>
      </w:pPr>
      <w:r>
        <w:t xml:space="preserve">3. Regulatory Compliance and Risk Management</w:t>
      </w:r>
    </w:p>
    <w:p>
      <w:pPr>
        <w:pStyle w:val="FirstParagraph"/>
      </w:pPr>
      <w:r>
        <w:t xml:space="preserve">One of the most critical aspects of banking in Israel Jerusalem is the strict adherence to anti-money laundering (AML) laws and know-your-customer (KYC) protocols. The Banker under review has shown a commendable commitment to these regulations. During the audit period, no significant compliance breaches were identified. The Banker consistently updated client documentation and ensured that all transactions were properly screened against international sanctions lists.</w:t>
      </w:r>
    </w:p>
    <w:p>
      <w:pPr>
        <w:pStyle w:val="BodyText"/>
      </w:pPr>
      <w:r>
        <w:t xml:space="preserve">Furthermore, the Banker demonstrated a proactive approach to risk management. By identifying potential credit risks early in the lending process, the Banker helped mitigate potential losses for the institution. This is particularly important in the Jerusalem market, where economic fluctuations can impact both local businesses and international investors. The Banker’s ability to balance risk with opportunity is a key strength that contributes to the stability of the bank’s operations in the region.</w:t>
      </w:r>
    </w:p>
    <w:bookmarkEnd w:id="23"/>
    <w:bookmarkStart w:id="24" w:name="client-relationship-management"/>
    <w:p>
      <w:pPr>
        <w:pStyle w:val="Heading2"/>
      </w:pPr>
      <w:r>
        <w:t xml:space="preserve">4. Client Relationship Management</w:t>
      </w:r>
    </w:p>
    <w:p>
      <w:pPr>
        <w:pStyle w:val="FirstParagraph"/>
      </w:pPr>
      <w:r>
        <w:t xml:space="preserve">The Banker has established strong relationships with a diverse clientele in Israel Jerusalem, including local entrepreneurs, international corporations, and individual investors. Feedback from clients indicates that the Banker is responsive, knowledgeable, and trustworthy. The Banker’s ability to tailor financial solutions to the specific needs of clients in the Jerusalem market has been a significant factor in client retention and satisfaction.</w:t>
      </w:r>
    </w:p>
    <w:p>
      <w:pPr>
        <w:pStyle w:val="BodyText"/>
      </w:pPr>
      <w:r>
        <w:t xml:space="preserve">However, the review also highlights the need for improved cross-cultural communication skills. Given the diverse demographic makeup of Israel Jerusalem, the Banker must be adept at navigating cultural nuances and language barriers. While the Banker has made efforts to improve in this area, further training and development are recommended to enhance their ability to connect with clients from different backgrounds.</w:t>
      </w:r>
    </w:p>
    <w:bookmarkEnd w:id="24"/>
    <w:bookmarkStart w:id="25" w:name="X96922dda1b086c330dbb9dfcbb186fcea5ef8ad"/>
    <w:p>
      <w:pPr>
        <w:pStyle w:val="Heading2"/>
      </w:pPr>
      <w:r>
        <w:t xml:space="preserve">5. Strategic Contribution and Market Insight</w:t>
      </w:r>
    </w:p>
    <w:p>
      <w:pPr>
        <w:pStyle w:val="FirstParagraph"/>
      </w:pPr>
      <w:r>
        <w:t xml:space="preserve">The Banker has played a key role in driving the bank’s strategic initiatives in Israel Jerusalem. By leveraging their deep understanding of the local market, the Banker has identified new business opportunities and contributed to the growth of the bank’s client base. The Banker’s insights into the Jerusalem real estate market, for example, have been instrumental in developing targeted lending products that meet the needs of local investors.</w:t>
      </w:r>
    </w:p>
    <w:p>
      <w:pPr>
        <w:pStyle w:val="BodyText"/>
      </w:pPr>
      <w:r>
        <w:t xml:space="preserve">Additionally, the Banker has actively participated in community outreach programs, enhancing the bank’s reputation as a responsible corporate citizen in Israel Jerusalem. These efforts have not only strengthened the bank’s brand but also fostered goodwill among local stakeholders.</w:t>
      </w:r>
    </w:p>
    <w:bookmarkEnd w:id="25"/>
    <w:bookmarkStart w:id="26" w:name="technological-adaptation-and-innovation"/>
    <w:p>
      <w:pPr>
        <w:pStyle w:val="Heading2"/>
      </w:pPr>
      <w:r>
        <w:t xml:space="preserve">6. Technological Adaptation and Innovation</w:t>
      </w:r>
    </w:p>
    <w:p>
      <w:pPr>
        <w:pStyle w:val="FirstParagraph"/>
      </w:pPr>
      <w:r>
        <w:t xml:space="preserve">In an era of rapid digital transformation, the ability to adapt to new technologies is crucial for any Banker. The Banker under review has shown a willingness to embrace digital tools and platforms, but there is room for improvement in terms of fully leveraging these technologies to enhance client service and operational efficiency.</w:t>
      </w:r>
    </w:p>
    <w:p>
      <w:pPr>
        <w:pStyle w:val="BodyText"/>
      </w:pPr>
      <w:r>
        <w:t xml:space="preserve">The Peer Review Report recommends that the Banker undergo additional training in digital banking solutions and data analytics. By doing so, the Banker will be better equipped to provide innovative financial solutions to clients in Israel Jerusalem and stay ahead of the competition.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confirms that the Banker has performed at a high level in their role within Israel Jerusalem. Their commitment to regulatory compliance, client service, and strategic growth has been evident throughout the review period. However, to further enhance their performance, the following recommendations are made:</w:t>
      </w:r>
    </w:p>
    <w:p>
      <w:pPr>
        <w:numPr>
          <w:ilvl w:val="0"/>
          <w:numId w:val="1002"/>
        </w:numPr>
        <w:pStyle w:val="Compact"/>
      </w:pPr>
      <w:r>
        <w:t xml:space="preserve">Enhance cross-cultural communication skills to better serve the diverse clientele of Israel Jerusalem.</w:t>
      </w:r>
    </w:p>
    <w:p>
      <w:pPr>
        <w:numPr>
          <w:ilvl w:val="0"/>
          <w:numId w:val="1002"/>
        </w:numPr>
        <w:pStyle w:val="Compact"/>
      </w:pPr>
      <w:r>
        <w:t xml:space="preserve">Undergo additional training in digital banking technologies and data analytics.</w:t>
      </w:r>
    </w:p>
    <w:p>
      <w:pPr>
        <w:numPr>
          <w:ilvl w:val="0"/>
          <w:numId w:val="1002"/>
        </w:numPr>
        <w:pStyle w:val="Compact"/>
      </w:pPr>
      <w:r>
        <w:t xml:space="preserve">Continue to leverage local market insights to drive business growth and innovation.</w:t>
      </w:r>
    </w:p>
    <w:p>
      <w:pPr>
        <w:pStyle w:val="FirstParagraph"/>
      </w:pPr>
      <w:r>
        <w:t xml:space="preserve">By addressing these areas, the Banker will be well-positioned to continue making significant contributions to the bank’s success in Israel Jerusalem and beyond.</w:t>
      </w:r>
    </w:p>
    <w:bookmarkEnd w:id="27"/>
    <w:p>
      <w:pPr>
        <w:pStyle w:val="BodyText"/>
      </w:pPr>
      <w:r>
        <w:rPr>
          <w:bCs/>
          <w:b/>
        </w:rPr>
        <w:t xml:space="preserve">Reviewed By:</w:t>
      </w:r>
    </w:p>
    <w:p>
      <w:pPr>
        <w:pStyle w:val="BodyText"/>
      </w:pPr>
      <w:r>
        <w:t xml:space="preserve">__________________________</w:t>
      </w:r>
    </w:p>
    <w:p>
      <w:pPr>
        <w:pStyle w:val="BodyText"/>
      </w:pPr>
      <w:r>
        <w:t xml:space="preserve">Senior Regional Audit Committee</w:t>
      </w:r>
    </w:p>
    <w:p>
      <w:pPr>
        <w:pStyle w:val="BodyText"/>
      </w:pPr>
      <w:r>
        <w:t xml:space="preserve">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Israel Jerusalem</dc:title>
  <dc:creator/>
  <dc:language>en</dc:language>
  <cp:keywords/>
  <dcterms:created xsi:type="dcterms:W3CDTF">2026-10-10T03:52:48Z</dcterms:created>
  <dcterms:modified xsi:type="dcterms:W3CDTF">2026-10-10T03:52:48Z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