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w:t>
      </w:r>
      <w:r>
        <w:t xml:space="preserve"> </w:t>
      </w:r>
      <w:r>
        <w:t xml:space="preserve">Senior Banker Performance Evaluation</w:t>
      </w:r>
    </w:p>
    <w:p>
      <w:pPr>
        <w:pStyle w:val="BodyText"/>
      </w:pPr>
      <w:r>
        <w:t xml:space="preserve">Location:</w:t>
      </w:r>
      <w:r>
        <w:t xml:space="preserve"> </w:t>
      </w:r>
      <w:r>
        <w:t xml:space="preserve">Israel Tel Aviv Financial District</w:t>
      </w:r>
    </w:p>
    <w:p>
      <w:pPr>
        <w:pStyle w:val="BodyText"/>
      </w:pPr>
      <w:r>
        <w:t xml:space="preserve">Date:</w:t>
      </w:r>
      <w:r>
        <w:t xml:space="preserve"> </w:t>
      </w:r>
      <w:r>
        <w:t xml:space="preserve">October 24, 2023</w:t>
      </w:r>
    </w:p>
    <w:p>
      <w:pPr>
        <w:pStyle w:val="BodyText"/>
      </w:pPr>
      <w:r>
        <w:t xml:space="preserve">Review Type:</w:t>
      </w:r>
      <w:r>
        <w:t xml:space="preserve"> </w:t>
      </w:r>
      <w:r>
        <w:t xml:space="preserve">360-Degree Peer Assessment</w:t>
      </w:r>
    </w:p>
    <w:p>
      <w:pPr>
        <w:pStyle w:val="BodyText"/>
      </w:pPr>
      <w:r>
        <w:t xml:space="preserve">Confidentiality:</w:t>
      </w:r>
      <w:r>
        <w:t xml:space="preserve"> </w:t>
      </w:r>
      <w:r>
        <w:t xml:space="preserve">Strictly Internal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conduct, technical expertise, and collaborative capabilities of a Senior</w:t>
      </w:r>
      <w:r>
        <w:t xml:space="preserve"> </w:t>
      </w:r>
      <w:r>
        <w:rPr>
          <w:bCs/>
          <w:b/>
        </w:rPr>
        <w:t xml:space="preserve">Banker</w:t>
      </w:r>
      <w:r>
        <w:t xml:space="preserve"> </w:t>
      </w:r>
      <w:r>
        <w:t xml:space="preserve">operating within the dynamic financial ecosystem of</w:t>
      </w:r>
      <w:r>
        <w:t xml:space="preserve"> </w:t>
      </w:r>
      <w:r>
        <w:rPr>
          <w:bCs/>
          <w:b/>
        </w:rPr>
        <w:t xml:space="preserve">Israel Tel Aviv</w:t>
      </w:r>
      <w:r>
        <w:t xml:space="preserve">. As the financial capital of the nation, Tel Aviv presents a unique environment characterized by rapid technological innovation, a thriving startup culture, and stringent regulatory requirements. This assessment aims to provide a comprehensive analysis of how the subject adapts to these specific local conditions while maintaining high standards of banking excellence.</w:t>
      </w:r>
    </w:p>
    <w:p>
      <w:pPr>
        <w:pStyle w:val="BodyText"/>
      </w:pPr>
      <w:r>
        <w:t xml:space="preserve">The review process involved feedback from colleagues across various departments, including risk management, retail banking, and corporate finance. The overarching goal is to determine the Banker's alignment with the institution's strategic objectives and their effectiveness in navigating the complex socio-economic landscape of the region.</w:t>
      </w:r>
    </w:p>
    <w:bookmarkEnd w:id="21"/>
    <w:bookmarkStart w:id="22" w:name="X0b15d09a70538bfa797e4c72b1a01979b90421e"/>
    <w:p>
      <w:pPr>
        <w:pStyle w:val="Heading2"/>
      </w:pPr>
      <w:r>
        <w:t xml:space="preserve">2. Technical Proficiency and Market Knowledge</w:t>
      </w:r>
    </w:p>
    <w:p>
      <w:pPr>
        <w:pStyle w:val="FirstParagraph"/>
      </w:pPr>
      <w:r>
        <w:t xml:space="preserve">A critical component of this</w:t>
      </w:r>
      <w:r>
        <w:t xml:space="preserve"> </w:t>
      </w:r>
      <w:r>
        <w:rPr>
          <w:bCs/>
          <w:b/>
        </w:rPr>
        <w:t xml:space="preserve">Peer Review Report</w:t>
      </w:r>
      <w:r>
        <w:t xml:space="preserve"> </w:t>
      </w:r>
      <w:r>
        <w:t xml:space="preserve">is the assessment of the Banker's technical acumen. Operating in</w:t>
      </w:r>
      <w:r>
        <w:t xml:space="preserve"> </w:t>
      </w:r>
      <w:r>
        <w:rPr>
          <w:bCs/>
          <w:b/>
        </w:rPr>
        <w:t xml:space="preserve">Israel Tel Aviv</w:t>
      </w:r>
      <w:r>
        <w:t xml:space="preserve"> </w:t>
      </w:r>
      <w:r>
        <w:t xml:space="preserve">requires more than just traditional banking knowledge; it demands a deep understanding of the local fintech sector and the Israeli shekel's volatility. The subject has demonstrated exceptional proficiency in analyzing credit risk for technology startups, a sector that dominates the Tel Aviv economy.</w:t>
      </w:r>
    </w:p>
    <w:p>
      <w:pPr>
        <w:pStyle w:val="BodyText"/>
      </w:pPr>
      <w:r>
        <w:t xml:space="preserve">Peers have noted that the Banker possesses an advanced understanding of the Bank of Israel's monetary policies and how they impact local lending rates. Furthermore, the subject's ability to integrate digital banking solutions into client portfolios reflects a modern approach suitable for the tech-savvy clientele found in Tel Aviv. This technical competence ensures that the bank remains competitive against both traditional local rivals and emerging digital-only banks.</w:t>
      </w:r>
    </w:p>
    <w:bookmarkEnd w:id="22"/>
    <w:bookmarkStart w:id="23" w:name="client-relationship-management"/>
    <w:p>
      <w:pPr>
        <w:pStyle w:val="Heading2"/>
      </w:pPr>
      <w:r>
        <w:t xml:space="preserve">3. Client Relationship Management</w:t>
      </w:r>
    </w:p>
    <w:p>
      <w:pPr>
        <w:pStyle w:val="FirstParagraph"/>
      </w:pPr>
      <w:r>
        <w:t xml:space="preserve">In the context of</w:t>
      </w:r>
      <w:r>
        <w:t xml:space="preserve"> </w:t>
      </w:r>
      <w:r>
        <w:rPr>
          <w:bCs/>
          <w:b/>
        </w:rPr>
        <w:t xml:space="preserve">Israel Tel Aviv</w:t>
      </w:r>
      <w:r>
        <w:t xml:space="preserve">, client relationships are built on trust, speed, and cultural nuance. This</w:t>
      </w:r>
      <w:r>
        <w:t xml:space="preserve"> </w:t>
      </w:r>
      <w:r>
        <w:rPr>
          <w:bCs/>
          <w:b/>
        </w:rPr>
        <w:t xml:space="preserve">Peer Review Report</w:t>
      </w:r>
      <w:r>
        <w:t xml:space="preserve"> </w:t>
      </w:r>
      <w:r>
        <w:t xml:space="preserve">highlights the Banker's strong interpersonal skills. The subject has been commended for their ability to navigate the direct communication style prevalent in Israeli business culture. Unlike more formal banking environments, the Tel Aviv market values agility and straightforwardness, traits the Banker exhibits consistently.</w:t>
      </w:r>
    </w:p>
    <w:p>
      <w:pPr>
        <w:pStyle w:val="BodyText"/>
      </w:pPr>
      <w:r>
        <w:t xml:space="preserve">Feedback indicates that the Banker has successfully expanded the client base within the high-net-worth individual segment in Tel Aviv's affluent neighborhoods. By offering personalized financial advice that accounts for local tax laws and investment opportunities, the subject has fostered long-term loyalty. The ability to bridge the gap between conservative banking practices and the innovative spirit of Tel Aviv entrepreneurs is a standout strength identified in this review.</w:t>
      </w:r>
    </w:p>
    <w:bookmarkEnd w:id="23"/>
    <w:bookmarkStart w:id="24" w:name="regulatory-compliance-and-ethics"/>
    <w:p>
      <w:pPr>
        <w:pStyle w:val="Heading2"/>
      </w:pPr>
      <w:r>
        <w:t xml:space="preserve">4. Regulatory Compliance and Ethics</w:t>
      </w:r>
    </w:p>
    <w:p>
      <w:pPr>
        <w:pStyle w:val="FirstParagraph"/>
      </w:pPr>
      <w:r>
        <w:t xml:space="preserve">Compliance is paramount in the banking sector, particularly in a jurisdiction like Israel, which is subject to both local regulations and international anti-money laundering (AML) standards. This</w:t>
      </w:r>
      <w:r>
        <w:t xml:space="preserve"> </w:t>
      </w:r>
      <w:r>
        <w:rPr>
          <w:bCs/>
          <w:b/>
        </w:rPr>
        <w:t xml:space="preserve">Peer Review Report</w:t>
      </w:r>
      <w:r>
        <w:t xml:space="preserve"> </w:t>
      </w:r>
      <w:r>
        <w:t xml:space="preserve">confirms that the Banker adheres strictly to all ethical guidelines and regulatory frameworks. The subject demonstrates a proactive approach to compliance, ensuring that all transactions involving cross-border investments are thoroughly vetted.</w:t>
      </w:r>
    </w:p>
    <w:p>
      <w:pPr>
        <w:pStyle w:val="BodyText"/>
      </w:pPr>
      <w:r>
        <w:t xml:space="preserve">Peers have observed that the Banker maintains a high level of integrity, even under pressure to close deals quickly. In the fast-paced environment of</w:t>
      </w:r>
      <w:r>
        <w:t xml:space="preserve"> </w:t>
      </w:r>
      <w:r>
        <w:rPr>
          <w:bCs/>
          <w:b/>
        </w:rPr>
        <w:t xml:space="preserve">Israel Tel Aviv</w:t>
      </w:r>
      <w:r>
        <w:t xml:space="preserve">, where business moves rapidly, the subject's commitment to due diligence serves as a safeguard for the institution. This dedication to ethical banking practices enhances the bank's reputation and mitigates potential legal risks.</w:t>
      </w:r>
    </w:p>
    <w:bookmarkEnd w:id="24"/>
    <w:bookmarkStart w:id="25" w:name="team-collaboration-and-leadership"/>
    <w:p>
      <w:pPr>
        <w:pStyle w:val="Heading2"/>
      </w:pPr>
      <w:r>
        <w:t xml:space="preserve">5. Team Collaboration and Leadership</w:t>
      </w:r>
    </w:p>
    <w:p>
      <w:pPr>
        <w:pStyle w:val="FirstParagraph"/>
      </w:pPr>
      <w:r>
        <w:t xml:space="preserve">Effective collaboration is essential for success in a major financial hub. This</w:t>
      </w:r>
      <w:r>
        <w:t xml:space="preserve"> </w:t>
      </w:r>
      <w:r>
        <w:rPr>
          <w:bCs/>
          <w:b/>
        </w:rPr>
        <w:t xml:space="preserve">Peer Review Report</w:t>
      </w:r>
      <w:r>
        <w:t xml:space="preserve"> </w:t>
      </w:r>
      <w:r>
        <w:t xml:space="preserve">evaluates the Banker's role within the team structure. The subject is described as a supportive colleague who actively shares market insights regarding the Tel Aviv real estate and tech sectors. Their willingness to mentor junior staff members contributes to a positive and productive work environment.</w:t>
      </w:r>
    </w:p>
    <w:p>
      <w:pPr>
        <w:pStyle w:val="BodyText"/>
      </w:pPr>
      <w:r>
        <w:t xml:space="preserve">The Banker has shown leadership qualities by coordinating cross-functional projects aimed at improving digital onboarding processes. This initiative aligns with the broader trend of digital transformation in</w:t>
      </w:r>
      <w:r>
        <w:t xml:space="preserve"> </w:t>
      </w:r>
      <w:r>
        <w:rPr>
          <w:bCs/>
          <w:b/>
        </w:rPr>
        <w:t xml:space="preserve">Israel Tel Aviv</w:t>
      </w:r>
      <w:r>
        <w:t xml:space="preserve">. By fostering a culture of innovation and cooperation, the subject helps the team adapt to changing market demands and technological advancements.</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areas for growth. One suggestion is for the Banker to further enhance their knowledge of emerging cryptocurrency regulations, given the growing interest in digital assets among Tel Aviv investors. Additionally, while the subject's direct communication style is generally appreciated, there are instances where a more diplomatic approach may be beneficial when dealing with international clients unfamiliar with local business norms.</w:t>
      </w:r>
    </w:p>
    <w:bookmarkEnd w:id="26"/>
    <w:bookmarkStart w:id="27" w:name="conclusion-and-recommendation"/>
    <w:p>
      <w:pPr>
        <w:pStyle w:val="Heading2"/>
      </w:pPr>
      <w:r>
        <w:t xml:space="preserve">7. Conclusion and Recommendation</w:t>
      </w:r>
    </w:p>
    <w:p>
      <w:pPr>
        <w:pStyle w:val="FirstParagraph"/>
      </w:pPr>
      <w:r>
        <w:rPr>
          <w:bCs/>
          <w:b/>
        </w:rPr>
        <w:t xml:space="preserve">Overall Rating:</w:t>
      </w:r>
      <w:r>
        <w:t xml:space="preserve"> </w:t>
      </w:r>
      <w:r>
        <w:t xml:space="preserve">Exceeds Expectations</w:t>
      </w:r>
      <w:r>
        <w:br/>
      </w:r>
      <w:r>
        <w:rPr>
          <w:bCs/>
          <w:b/>
        </w:rPr>
        <w:t xml:space="preserve">Recommendation:</w:t>
      </w:r>
      <w:r>
        <w:t xml:space="preserve"> </w:t>
      </w:r>
      <w:r>
        <w:t xml:space="preserve">Eligible for promotion and increased responsibility.</w:t>
      </w:r>
    </w:p>
    <w:p>
      <w:pPr>
        <w:pStyle w:val="BodyText"/>
      </w:pPr>
      <w:r>
        <w:t xml:space="preserve">In conclusion, this</w:t>
      </w:r>
      <w:r>
        <w:t xml:space="preserve"> </w:t>
      </w:r>
      <w:r>
        <w:rPr>
          <w:bCs/>
          <w:b/>
        </w:rPr>
        <w:t xml:space="preserve">Peer Review Report</w:t>
      </w:r>
      <w:r>
        <w:t xml:space="preserve"> </w:t>
      </w:r>
      <w:r>
        <w:t xml:space="preserve">affirms that the subject is a highly competent and valuable</w:t>
      </w:r>
      <w:r>
        <w:t xml:space="preserve"> </w:t>
      </w:r>
      <w:r>
        <w:rPr>
          <w:bCs/>
          <w:b/>
        </w:rPr>
        <w:t xml:space="preserve">Banker</w:t>
      </w:r>
      <w:r>
        <w:t xml:space="preserve"> </w:t>
      </w:r>
      <w:r>
        <w:t xml:space="preserve">within the</w:t>
      </w:r>
      <w:r>
        <w:t xml:space="preserve"> </w:t>
      </w:r>
      <w:r>
        <w:rPr>
          <w:bCs/>
          <w:b/>
        </w:rPr>
        <w:t xml:space="preserve">Israel Tel Aviv</w:t>
      </w:r>
      <w:r>
        <w:t xml:space="preserve"> </w:t>
      </w:r>
      <w:r>
        <w:t xml:space="preserve">branch. Their combination of technical expertise, cultural adaptability, and ethical integrity makes them an asset to the organization. The subject is well-positioned to contribute to the bank's continued growth in this vibrant financial market. It is recommended that the Banker be considered for leadership roles that leverage their deep understanding of the local economy and their ability to drive innovation.</w:t>
      </w:r>
    </w:p>
    <w:bookmarkEnd w:id="27"/>
    <w:p>
      <w:pPr>
        <w:pStyle w:val="BodyText"/>
      </w:pPr>
      <w:r>
        <w:t xml:space="preserve">Reviewer Name</w:t>
      </w:r>
    </w:p>
    <w:p>
      <w:pPr>
        <w:pStyle w:val="BodyText"/>
      </w:pPr>
      <w:r>
        <w:t xml:space="preserve">Senior Manager, Human Resources</w:t>
      </w:r>
    </w:p>
    <w:p>
      <w:pPr>
        <w:pStyle w:val="BodyText"/>
      </w:pPr>
      <w:r>
        <w:t xml:space="preserve">Branch Manager</w:t>
      </w:r>
    </w:p>
    <w:p>
      <w:pPr>
        <w:pStyle w:val="BodyText"/>
      </w:pPr>
      <w:r>
        <w:t xml:space="preserve">Tel Aviv Financial District</w:t>
      </w:r>
    </w:p>
    <w:p>
      <w:pPr>
        <w:pStyle w:val="BodyText"/>
      </w:pPr>
      <w:r>
        <w:t xml:space="preserve">© 2023 Internal Banking Review Committee.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2026-10-10T04:34:43Z</dcterms:created>
  <dcterms:modified xsi:type="dcterms:W3CDTF">2026-10-10T04:34:43Z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