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in</w:t>
      </w:r>
      <w:r>
        <w:t xml:space="preserve"> </w:t>
      </w:r>
      <w:r>
        <w:t xml:space="preserve">Kuwait</w:t>
      </w:r>
      <w:r>
        <w:t xml:space="preserve"> </w:t>
      </w:r>
      <w:r>
        <w:t xml:space="preserve">City</w:t>
      </w:r>
    </w:p>
    <w:bookmarkStart w:id="20" w:name="Xa65b52c9a9a1dc11eb570d012d4201de70be9e9"/>
    <w:p>
      <w:pPr>
        <w:pStyle w:val="Heading1"/>
      </w:pPr>
      <w:r>
        <w:t xml:space="preserve">Peer Review Report: Banker Performance Evaluation</w:t>
      </w:r>
    </w:p>
    <w:p>
      <w:pPr>
        <w:pStyle w:val="FirstParagraph"/>
      </w:pPr>
      <w:r>
        <w:t xml:space="preserve">Location</w:t>
      </w:r>
      <w:r>
        <w:t xml:space="preserve"> </w:t>
      </w:r>
      <w:r>
        <w:t xml:space="preserve">Kuwait, Kuwait City</w:t>
      </w:r>
    </w:p>
    <w:p>
      <w:pPr>
        <w:pStyle w:val="BodyText"/>
      </w:pPr>
      <w:r>
        <w:t xml:space="preserve">Role Assessed</w:t>
      </w:r>
      <w:r>
        <w:t xml:space="preserve"> </w:t>
      </w:r>
      <w:r>
        <w:t xml:space="preserve">Banker / Relationship Manager</w:t>
      </w:r>
    </w:p>
    <w:p>
      <w:pPr>
        <w:pStyle w:val="BodyText"/>
      </w:pPr>
      <w: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performance, operational efficiency, and client relationship management capabilities of a Banker operating within the financial district of Kuwait, Kuwait City. The banking sector in Kuwait City is characterized by high regulatory standards, a diverse clientele ranging from local families to international corporations, and a strong emphasis on Islamic finance principles. This review aims to provide a comprehensive analysis of the Banker's adherence to these local standards, their technical proficiency, and their contribution to the institution's strategic goals in this specific geographic market.</w:t>
      </w:r>
    </w:p>
    <w:bookmarkEnd w:id="21"/>
    <w:bookmarkStart w:id="22" w:name="X9b899e38945119444aecc425d216029e9a16ee8"/>
    <w:p>
      <w:pPr>
        <w:pStyle w:val="Heading2"/>
      </w:pPr>
      <w:r>
        <w:t xml:space="preserve">2. Contextual Analysis: The Kuwait City Banking Environment</w:t>
      </w:r>
    </w:p>
    <w:p>
      <w:pPr>
        <w:pStyle w:val="FirstParagraph"/>
      </w:pPr>
      <w:r>
        <w:t xml:space="preserve">To accurately evaluate the Banker, one must understand the unique environment of Kuwait City. As the financial hub of the country, the city hosts major local banks and significant branches of international financial institutions. The regulatory framework, overseen by the Central Bank of Kuwait (CBK), is stringent regarding anti-money laundering (AML) and know-your-customer (KYC) protocols. Furthermore, the cultural landscape requires a high degree of sensitivity to local customs, language nuances, and the specific financial behaviors of Kuwaiti nationals versus expatriate residents.</w:t>
      </w:r>
    </w:p>
    <w:p>
      <w:pPr>
        <w:pStyle w:val="BodyText"/>
      </w:pPr>
      <w:r>
        <w:t xml:space="preserve">A successful Banker in Kuwait City must navigate a dual landscape: the modern, digital-first expectations of younger clients and the traditional, relationship-heavy approach preferred by established business families. This report evaluates how well the subject Banker balances these competing demands.</w:t>
      </w:r>
    </w:p>
    <w:bookmarkEnd w:id="22"/>
    <w:bookmarkStart w:id="25" w:name="Xd4d7d14f5f03f02ba44be4fdb225df23e77bbc2"/>
    <w:p>
      <w:pPr>
        <w:pStyle w:val="Heading2"/>
      </w:pPr>
      <w:r>
        <w:t xml:space="preserve">3. Operational Competence and Regulatory Compliance</w:t>
      </w:r>
    </w:p>
    <w:bookmarkStart w:id="23" w:name="adherence-to-cbk-regulations"/>
    <w:p>
      <w:pPr>
        <w:pStyle w:val="Heading3"/>
      </w:pPr>
      <w:r>
        <w:t xml:space="preserve">3.1 Adherence to CBK Regulations</w:t>
      </w:r>
    </w:p>
    <w:p>
      <w:pPr>
        <w:pStyle w:val="FirstParagraph"/>
      </w:pPr>
      <w:r>
        <w:t xml:space="preserve">The Banker has demonstrated a robust understanding of the Central Bank of Kuwait's directives. During the review period, the Banker maintained a flawless record regarding documentation and reporting. In the context of Kuwait City's strict financial oversight, this is a critical metric. The Banker consistently ensured that all client onboarding processes met the latest KYC requirements, minimizing the risk of compliance breaches.</w:t>
      </w:r>
    </w:p>
    <w:bookmarkEnd w:id="23"/>
    <w:bookmarkStart w:id="24" w:name="islamic-finance-proficiency"/>
    <w:p>
      <w:pPr>
        <w:pStyle w:val="Heading3"/>
      </w:pPr>
      <w:r>
        <w:t xml:space="preserve">3.2 Islamic Finance Proficiency</w:t>
      </w:r>
    </w:p>
    <w:p>
      <w:pPr>
        <w:pStyle w:val="FirstParagraph"/>
      </w:pPr>
      <w:r>
        <w:t xml:space="preserve">Given the prominence of Sharia-compliant banking in Kuwait, the Banker's ability to articulate the differences between conventional and Islamic financial products was assessed. The Banker showed strong competency in explaining concepts such as Murabaha and Ijara to clients, ensuring that product recommendations aligned with the religious and ethical preferences of the local clientele. This cultural and financial alignment is essential for building trust in the Kuwait City market.</w:t>
      </w:r>
    </w:p>
    <w:bookmarkEnd w:id="24"/>
    <w:bookmarkEnd w:id="25"/>
    <w:bookmarkStart w:id="28" w:name="client-relationship-management"/>
    <w:p>
      <w:pPr>
        <w:pStyle w:val="Heading2"/>
      </w:pPr>
      <w:r>
        <w:t xml:space="preserve">4. Client Relationship Management</w:t>
      </w:r>
    </w:p>
    <w:bookmarkStart w:id="26" w:name="local-cultural-sensitivity"/>
    <w:p>
      <w:pPr>
        <w:pStyle w:val="Heading3"/>
      </w:pPr>
      <w:r>
        <w:t xml:space="preserve">4.1 Local Cultural Sensitivity</w:t>
      </w:r>
    </w:p>
    <w:p>
      <w:pPr>
        <w:pStyle w:val="FirstParagraph"/>
      </w:pPr>
      <w:r>
        <w:t xml:space="preserve">One of the standout attributes of the Banker is their cultural intelligence. In Kuwait City, business is deeply personal. The Banker has successfully cultivated long-term relationships with key stakeholders by respecting local etiquette, including appropriate communication styles and timing. The Banker's ability to converse fluently in both Arabic and English has been instrumental in bridging gaps between local Kuwaiti clients and international corporate entities operating in the city.</w:t>
      </w:r>
    </w:p>
    <w:bookmarkEnd w:id="26"/>
    <w:bookmarkStart w:id="27" w:name="responsiveness-and-service-quality"/>
    <w:p>
      <w:pPr>
        <w:pStyle w:val="Heading3"/>
      </w:pPr>
      <w:r>
        <w:t xml:space="preserve">4.2 Responsiveness and Service Quality</w:t>
      </w:r>
    </w:p>
    <w:p>
      <w:pPr>
        <w:pStyle w:val="FirstParagraph"/>
      </w:pPr>
      <w:r>
        <w:t xml:space="preserve">Feedback from peer interactions and client surveys indicates that the Banker maintains a high level of responsiveness. In a competitive market like Kuwait City, where clients have access to numerous banking options, the Banker's proactive approach to problem-solving has resulted in high client retention rates. The Banker effectively utilizes digital banking tools to enhance service delivery while maintaining the personal touch that is valued in the region.</w:t>
      </w:r>
    </w:p>
    <w:bookmarkEnd w:id="27"/>
    <w:bookmarkEnd w:id="28"/>
    <w:bookmarkStart w:id="29" w:name="X72ef9b37136f65db94bbb44f06858e91beaf324"/>
    <w:p>
      <w:pPr>
        <w:pStyle w:val="Heading2"/>
      </w:pPr>
      <w:r>
        <w:t xml:space="preserve">5. Strategic Contribution and Business Development</w:t>
      </w:r>
    </w:p>
    <w:p>
      <w:pPr>
        <w:pStyle w:val="FirstParagraph"/>
      </w:pPr>
      <w:r>
        <w:t xml:space="preserve">The Banker has actively contributed to the branch's growth targets in Kuwait City. By identifying emerging trends in the local economy, such as the growth of the fintech sector and real estate developments in specific districts of the city, the Banker has tailored financial solutions that meet current market demands. The Banker's ability to cross-sell wealth management products to existing retail clients has been particularly effective, demonstrating a deep understanding of the financial aspirations of the Kuwaiti middle and upper classes.</w:t>
      </w:r>
    </w:p>
    <w:bookmarkEnd w:id="29"/>
    <w:bookmarkStart w:id="30" w:name="areas-for-improvement"/>
    <w:p>
      <w:pPr>
        <w:pStyle w:val="Heading2"/>
      </w:pPr>
      <w:r>
        <w:t xml:space="preserve">6. Areas for Improvement</w:t>
      </w:r>
    </w:p>
    <w:p>
      <w:pPr>
        <w:pStyle w:val="FirstParagraph"/>
      </w:pPr>
      <w:r>
        <w:t xml:space="preserve">While the Banker's performance is largely exemplary, there are areas for refinement. First, there is an opportunity to further leverage data analytics to predict client needs more accurately. As Kuwait City moves towards a more digital economy, the Banker should enhance their skills in using advanced CRM tools to segment clients more effectively. Second, while the Banker's knowledge of Islamic finance is strong, staying updated on the evolving global standards for sustainable finance (ESG) would be beneficial, as this is becoming increasingly relevant to international investors in Kuwait.</w:t>
      </w:r>
    </w:p>
    <w:bookmarkEnd w:id="30"/>
    <w:bookmarkStart w:id="31" w:name="conclusion-and-final-assessment"/>
    <w:p>
      <w:pPr>
        <w:pStyle w:val="Heading2"/>
      </w:pPr>
      <w:r>
        <w:t xml:space="preserve">7. Conclusion and Final Assessment</w:t>
      </w:r>
    </w:p>
    <w:p>
      <w:pPr>
        <w:pStyle w:val="FirstParagraph"/>
      </w:pPr>
      <w:r>
        <w:t xml:space="preserve">In conclusion, this Peer Review Report affirms that the Banker is a highly competent and valuable asset to the financial institution in Kuwait, Kuwait City. The Banker's strong grasp of local regulations, cultural nuances, and financial products positions them well to continue driving business growth and maintaining high standards of client service. The Banker's performance reflects positively on the institution's reputation in the competitive Kuwaiti banking sector.</w:t>
      </w:r>
    </w:p>
    <w:p>
      <w:pPr>
        <w:pStyle w:val="BodyText"/>
      </w:pPr>
      <w:r>
        <w:t xml:space="preserve">Overall Performance Rating: Excellent</w:t>
      </w:r>
    </w:p>
    <w:p>
      <w:pPr>
        <w:pStyle w:val="BodyText"/>
      </w:pPr>
      <w:r>
        <w:t xml:space="preserve">The Banker has met and exceeded expectations in all key performance indicators relevant to the Kuwait City market. Continued professional development in digital analytics and sustainable finance is recommended to ensure long-term success.</w:t>
      </w:r>
    </w:p>
    <w:bookmarkEnd w:id="31"/>
    <w:p>
      <w:pPr>
        <w:pStyle w:val="BodyText"/>
      </w:pPr>
      <w:r>
        <w:t xml:space="preserve">This document is a confidential Peer Review Report intended for internal use only. It pertains specifically to the evaluation of banking operations within 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in Kuwait City</dc:title>
  <dc:creator/>
  <dc:language>en</dc:language>
  <cp:keywords/>
  <dcterms:created xsi:type="dcterms:W3CDTF">2026-10-10T02:04:15Z</dcterms:created>
  <dcterms:modified xsi:type="dcterms:W3CDTF">2026-10-10T02:04:15Z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