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Performance Evaluation: Senior Banker</w:t>
      </w:r>
    </w:p>
    <w:p>
      <w:pPr>
        <w:pStyle w:val="BodyText"/>
      </w:pPr>
      <w:r>
        <w:rPr>
          <w:bCs/>
          <w:b/>
        </w:rPr>
        <w:t xml:space="preserve">Subject:</w:t>
      </w:r>
      <w:r>
        <w:t xml:space="preserve"> </w:t>
      </w:r>
      <w:r>
        <w:t xml:space="preserve">[Banker Name]</w:t>
      </w:r>
      <w:r>
        <w:br/>
      </w:r>
      <w:r>
        <w:rPr>
          <w:bCs/>
          <w:b/>
        </w:rPr>
        <w:t xml:space="preserve">Role:</w:t>
      </w:r>
      <w:r>
        <w:t xml:space="preserve"> </w:t>
      </w:r>
      <w:r>
        <w:t xml:space="preserve">Corporate Banking Officer</w:t>
      </w:r>
      <w:r>
        <w:br/>
      </w:r>
      <w:r>
        <w:rPr>
          <w:bCs/>
          <w:b/>
        </w:rPr>
        <w:t xml:space="preserve">Location:</w:t>
      </w:r>
      <w:r>
        <w:t xml:space="preserve"> </w:t>
      </w:r>
      <w:r>
        <w:t xml:space="preserve">Casablanca Finance City, Morocco</w:t>
      </w:r>
    </w:p>
    <w:p>
      <w:pPr>
        <w:pStyle w:val="BodyText"/>
      </w:pPr>
      <w:r>
        <w:rPr>
          <w:bCs/>
          <w:b/>
        </w:rPr>
        <w:t xml:space="preserve">Reviewer:</w:t>
      </w:r>
      <w:r>
        <w:t xml:space="preserve"> </w:t>
      </w:r>
      <w:r>
        <w:t xml:space="preserve">[Reviewer Name]</w:t>
      </w:r>
      <w:r>
        <w:br/>
      </w:r>
      <w:r>
        <w:rPr>
          <w:bCs/>
          <w:b/>
        </w:rPr>
        <w:t xml:space="preserve">Relationship:</w:t>
      </w:r>
      <w:r>
        <w:t xml:space="preserve"> </w:t>
      </w:r>
      <w:r>
        <w:t xml:space="preserve">Senior Peer / Team Lead</w:t>
      </w:r>
      <w:r>
        <w:br/>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expertise, and strategic contribution of the subject</w:t>
      </w:r>
      <w:r>
        <w:t xml:space="preserve"> </w:t>
      </w:r>
      <w:r>
        <w:rPr>
          <w:bCs/>
          <w:b/>
        </w:rPr>
        <w:t xml:space="preserve">Banker</w:t>
      </w:r>
      <w:r>
        <w:t xml:space="preserve"> </w:t>
      </w:r>
      <w:r>
        <w:t xml:space="preserve">operating within the dynamic financial ecosystem of</w:t>
      </w:r>
      <w:r>
        <w:t xml:space="preserve"> </w:t>
      </w:r>
      <w:r>
        <w:rPr>
          <w:bCs/>
          <w:b/>
        </w:rPr>
        <w:t xml:space="preserve">Morocco Casablanca</w:t>
      </w:r>
      <w:r>
        <w:t xml:space="preserve">. As the economic capital of the Kingdom, Casablanca demands a high level of financial acumen, regulatory compliance, and cultural intelligence from its banking professionals. This report assesses how effectively the Banker navigates these specific local challenges while maintaining global banking standards.</w:t>
      </w:r>
    </w:p>
    <w:p>
      <w:pPr>
        <w:pStyle w:val="BodyText"/>
      </w:pPr>
      <w:r>
        <w:t xml:space="preserve">The review period covers the last twelve months of operations. The findings indicate a strong alignment with the bank's strategic goals, particularly in expanding corporate client portfolios within the Casablanca Stock Exchange (CSE) sector. However, there are specific areas regarding cross-departmental communication and digital transformation adoption that require attention.</w:t>
      </w:r>
    </w:p>
    <w:bookmarkEnd w:id="21"/>
    <w:bookmarkStart w:id="24" w:name="X4b51bed56b370dabe964b1c706a54b981d12aea"/>
    <w:p>
      <w:pPr>
        <w:pStyle w:val="Heading2"/>
      </w:pPr>
      <w:r>
        <w:t xml:space="preserve">2. Technical Competence and Market Knowledge</w:t>
      </w:r>
    </w:p>
    <w:bookmarkStart w:id="22" w:name="X400f790cceca8d1f59dbfcfeebf401a7bd0fb57"/>
    <w:p>
      <w:pPr>
        <w:pStyle w:val="Heading3"/>
      </w:pPr>
      <w:r>
        <w:t xml:space="preserve">2.1 Understanding of the Moroccan Financial Landscape</w:t>
      </w:r>
    </w:p>
    <w:p>
      <w:pPr>
        <w:pStyle w:val="FirstParagraph"/>
      </w:pPr>
      <w:r>
        <w:t xml:space="preserve">A critical requirement for any</w:t>
      </w:r>
      <w:r>
        <w:t xml:space="preserve"> </w:t>
      </w:r>
      <w:r>
        <w:rPr>
          <w:bCs/>
          <w:b/>
        </w:rPr>
        <w:t xml:space="preserve">Banker</w:t>
      </w:r>
      <w:r>
        <w:t xml:space="preserve"> </w:t>
      </w:r>
      <w:r>
        <w:t xml:space="preserve">in</w:t>
      </w:r>
      <w:r>
        <w:t xml:space="preserve"> </w:t>
      </w:r>
      <w:r>
        <w:rPr>
          <w:bCs/>
          <w:b/>
        </w:rPr>
        <w:t xml:space="preserve">Morocco Casablanca</w:t>
      </w:r>
      <w:r>
        <w:t xml:space="preserve"> </w:t>
      </w:r>
      <w:r>
        <w:t xml:space="preserve">is a deep understanding of the local regulatory environment governed by the Bank Al-Maghrib. The subject has demonstrated exceptional knowledge of local monetary policies and credit regulations. Their ability to structure financing solutions that comply with both local Moroccan law and international Islamic banking principles (if applicable) has been a significant asset to the team.</w:t>
      </w:r>
    </w:p>
    <w:p>
      <w:pPr>
        <w:pStyle w:val="BodyText"/>
      </w:pPr>
      <w:r>
        <w:t xml:space="preserve">Furthermore, the Banker has shown a keen awareness of the specific economic drivers in Casablanca, such as the automotive industry, aerospace sector, and the growing logistics hub status of the Tanger-Med corridor which impacts Casablanca's trade finance. This localized market intelligence allows for more accurate risk assessment and better client advisory services.</w:t>
      </w:r>
    </w:p>
    <w:bookmarkEnd w:id="22"/>
    <w:bookmarkStart w:id="23" w:name="financial-analysis-and-risk-management"/>
    <w:p>
      <w:pPr>
        <w:pStyle w:val="Heading3"/>
      </w:pPr>
      <w:r>
        <w:t xml:space="preserve">2.2 Financial Analysis and Risk Management</w:t>
      </w:r>
    </w:p>
    <w:p>
      <w:pPr>
        <w:pStyle w:val="FirstParagraph"/>
      </w:pPr>
      <w:r>
        <w:t xml:space="preserve">In the context of this</w:t>
      </w:r>
      <w:r>
        <w:t xml:space="preserve"> </w:t>
      </w:r>
      <w:r>
        <w:rPr>
          <w:bCs/>
          <w:b/>
        </w:rPr>
        <w:t xml:space="preserve">Peer Review Report</w:t>
      </w:r>
      <w:r>
        <w:t xml:space="preserve">, technical proficiency is paramount. The Banker consistently produces high-quality credit memorandums. Their analysis of cash flows for Moroccan SMEs and large conglomerates is thorough and data-driven. They have successfully mitigated risk in several complex transactions involving cross-border trade between Morocco and European markets, showcasing a robust understanding of international trade finance instruments.</w:t>
      </w:r>
    </w:p>
    <w:bookmarkEnd w:id="23"/>
    <w:bookmarkEnd w:id="24"/>
    <w:bookmarkStart w:id="27" w:name="client-relationship-management"/>
    <w:p>
      <w:pPr>
        <w:pStyle w:val="Heading2"/>
      </w:pPr>
      <w:r>
        <w:t xml:space="preserve">3. Client Relationship Management</w:t>
      </w:r>
    </w:p>
    <w:bookmarkStart w:id="25" w:name="cultural-intelligence-and-communication"/>
    <w:p>
      <w:pPr>
        <w:pStyle w:val="Heading3"/>
      </w:pPr>
      <w:r>
        <w:t xml:space="preserve">3.1 Cultural Intelligence and Communication</w:t>
      </w:r>
    </w:p>
    <w:p>
      <w:pPr>
        <w:pStyle w:val="FirstParagraph"/>
      </w:pPr>
      <w:r>
        <w:t xml:space="preserve">Banking in</w:t>
      </w:r>
      <w:r>
        <w:t xml:space="preserve"> </w:t>
      </w:r>
      <w:r>
        <w:rPr>
          <w:bCs/>
          <w:b/>
        </w:rPr>
        <w:t xml:space="preserve">Morocco Casablanca</w:t>
      </w:r>
      <w:r>
        <w:t xml:space="preserve"> </w:t>
      </w:r>
      <w:r>
        <w:t xml:space="preserve">is inherently relationship-driven. Trust is the currency of the market. The subject</w:t>
      </w:r>
      <w:r>
        <w:t xml:space="preserve"> </w:t>
      </w:r>
      <w:r>
        <w:rPr>
          <w:bCs/>
          <w:b/>
        </w:rPr>
        <w:t xml:space="preserve">Banker</w:t>
      </w:r>
      <w:r>
        <w:t xml:space="preserve"> </w:t>
      </w:r>
      <w:r>
        <w:t xml:space="preserve">excels in building long-term relationships with clients, ranging from family-owned businesses to multinational corporations headquartered in the city. Their bilingual proficiency in French and Arabic, coupled with professional English, enables them to communicate effectively with a diverse clientele.</w:t>
      </w:r>
    </w:p>
    <w:p>
      <w:pPr>
        <w:pStyle w:val="BodyText"/>
      </w:pPr>
      <w:r>
        <w:t xml:space="preserve">Peer feedback highlights the Banker's ability to navigate the nuances of Moroccan business etiquette. They understand the importance of face-to-face interactions and the hierarchical nature of many local corporate structures. This cultural sensitivity has directly contributed to a 15% increase in client retention rates within their portfolio over the review period.</w:t>
      </w:r>
    </w:p>
    <w:bookmarkEnd w:id="25"/>
    <w:bookmarkStart w:id="26" w:name="advisory-and-value-addition"/>
    <w:p>
      <w:pPr>
        <w:pStyle w:val="Heading3"/>
      </w:pPr>
      <w:r>
        <w:t xml:space="preserve">3.2 Advisory and Value Addition</w:t>
      </w:r>
    </w:p>
    <w:p>
      <w:pPr>
        <w:pStyle w:val="FirstParagraph"/>
      </w:pPr>
      <w:r>
        <w:t xml:space="preserve">Beyond transactional banking, the Banker acts as a strategic advisor. They have successfully guided clients through the complexities of listing on the Casablanca Stock Exchange and have provided valuable insights on currency hedging strategies given the volatility of the Moroccan Dirham against the Euro and US Dollar. This proactive approach distinguishes them as a trusted partner rather than just a service provider.</w:t>
      </w:r>
    </w:p>
    <w:bookmarkEnd w:id="26"/>
    <w:bookmarkEnd w:id="27"/>
    <w:bookmarkStart w:id="28" w:name="collaboration-and-team-dynamics"/>
    <w:p>
      <w:pPr>
        <w:pStyle w:val="Heading2"/>
      </w:pPr>
      <w:r>
        <w:t xml:space="preserve">4. Collaboration and Team Dynamics</w:t>
      </w:r>
    </w:p>
    <w:p>
      <w:pPr>
        <w:pStyle w:val="FirstParagraph"/>
      </w:pPr>
      <w:r>
        <w:t xml:space="preserve">This</w:t>
      </w:r>
      <w:r>
        <w:t xml:space="preserve"> </w:t>
      </w:r>
      <w:r>
        <w:rPr>
          <w:bCs/>
          <w:b/>
        </w:rPr>
        <w:t xml:space="preserve">Peer Review Report</w:t>
      </w:r>
      <w:r>
        <w:t xml:space="preserve"> </w:t>
      </w:r>
      <w:r>
        <w:t xml:space="preserve">also evaluates the Banker's contribution to the internal team environment. The subject is generally regarded as a collaborative team player who shares market insights freely. They actively participate in brainstorming sessions regarding new product offerings tailored to the Moroccan market.</w:t>
      </w:r>
    </w:p>
    <w:p>
      <w:pPr>
        <w:pStyle w:val="BodyText"/>
      </w:pPr>
      <w:r>
        <w:t xml:space="preserve">However, there is room for improvement in cross-functional collaboration. Specifically, interactions with the compliance and legal departments could be more streamlined. In the highly regulated environment of</w:t>
      </w:r>
      <w:r>
        <w:t xml:space="preserve"> </w:t>
      </w:r>
      <w:r>
        <w:rPr>
          <w:bCs/>
          <w:b/>
        </w:rPr>
        <w:t xml:space="preserve">Morocco Casablanca</w:t>
      </w:r>
      <w:r>
        <w:t xml:space="preserve">, early engagement with compliance is crucial to avoid bottlenecks in deal execution. The Banker is encouraged to integrate compliance checks earlier in the deal lifecycle to enhance efficiency.</w:t>
      </w:r>
    </w:p>
    <w:bookmarkEnd w:id="28"/>
    <w:bookmarkStart w:id="29" w:name="areas-for-development"/>
    <w:p>
      <w:pPr>
        <w:pStyle w:val="Heading2"/>
      </w:pPr>
      <w:r>
        <w:t xml:space="preserve">5. Areas for Development</w:t>
      </w:r>
    </w:p>
    <w:p>
      <w:pPr>
        <w:pStyle w:val="FirstParagraph"/>
      </w:pPr>
      <w:r>
        <w:t xml:space="preserve">To maintain competitiveness in the evolving financial sector of</w:t>
      </w:r>
      <w:r>
        <w:t xml:space="preserve"> </w:t>
      </w:r>
      <w:r>
        <w:rPr>
          <w:bCs/>
          <w:b/>
        </w:rPr>
        <w:t xml:space="preserve">Morocco Casablanca</w:t>
      </w:r>
      <w:r>
        <w:t xml:space="preserve">, the following areas require focus:</w:t>
      </w:r>
    </w:p>
    <w:p>
      <w:pPr>
        <w:numPr>
          <w:ilvl w:val="0"/>
          <w:numId w:val="1001"/>
        </w:numPr>
        <w:pStyle w:val="Compact"/>
      </w:pPr>
      <w:r>
        <w:rPr>
          <w:bCs/>
          <w:b/>
        </w:rPr>
        <w:t xml:space="preserve">Digital Transformation:</w:t>
      </w:r>
      <w:r>
        <w:t xml:space="preserve"> </w:t>
      </w:r>
      <w:r>
        <w:t xml:space="preserve">The Banker should accelerate their adoption of digital banking tools and fintech solutions. As Moroccan clients increasingly demand digital-first experiences, the Banker must lead by example in utilizing these platforms.</w:t>
      </w:r>
    </w:p>
    <w:p>
      <w:pPr>
        <w:numPr>
          <w:ilvl w:val="0"/>
          <w:numId w:val="1001"/>
        </w:numPr>
        <w:pStyle w:val="Compact"/>
      </w:pPr>
      <w:r>
        <w:rPr>
          <w:bCs/>
          <w:b/>
        </w:rPr>
        <w:t xml:space="preserve">ESG Integration:</w:t>
      </w:r>
      <w:r>
        <w:t xml:space="preserve"> </w:t>
      </w:r>
      <w:r>
        <w:t xml:space="preserve">With the growing emphasis on sustainability in North Africa, the Banker needs to deepen their expertise in Environmental, Social, and Governance (ESG) criteria to better serve clients seeking green financing options.</w:t>
      </w:r>
    </w:p>
    <w:p>
      <w:pPr>
        <w:numPr>
          <w:ilvl w:val="0"/>
          <w:numId w:val="1001"/>
        </w:numPr>
        <w:pStyle w:val="Compact"/>
      </w:pPr>
      <w:r>
        <w:rPr>
          <w:bCs/>
          <w:b/>
        </w:rPr>
        <w:t xml:space="preserve">Time Management:</w:t>
      </w:r>
      <w:r>
        <w:t xml:space="preserve"> </w:t>
      </w:r>
      <w:r>
        <w:t xml:space="preserve">While client dedication is high, better prioritization of tasks is needed to ensure that administrative duties do not overshadow strategic relationship building.</w:t>
      </w:r>
    </w:p>
    <w:bookmarkEnd w:id="29"/>
    <w:bookmarkStart w:id="30"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Banker</w:t>
      </w:r>
      <w:r>
        <w:t xml:space="preserve"> </w:t>
      </w:r>
      <w:r>
        <w:t xml:space="preserve">is a high-performing professional who adds significant value to the institution's operations in</w:t>
      </w:r>
      <w:r>
        <w:t xml:space="preserve"> </w:t>
      </w:r>
      <w:r>
        <w:rPr>
          <w:bCs/>
          <w:b/>
        </w:rPr>
        <w:t xml:space="preserve">Morocco Casablanca</w:t>
      </w:r>
      <w:r>
        <w:t xml:space="preserve">. Their blend of technical financial skills, regulatory knowledge, and cultural adaptability makes them a key asset in the region.</w:t>
      </w:r>
    </w:p>
    <w:p>
      <w:pPr>
        <w:pStyle w:val="BodyText"/>
      </w:pPr>
      <w:r>
        <w:t xml:space="preserve">The recommendation is to continue their current trajectory while providing targeted training in digital banking and ESG frameworks. With these enhancements, the Banker is well-positioned for further career advancement and leadership roles within the bank's Moroccan operations.</w:t>
      </w:r>
    </w:p>
    <w:p>
      <w:pPr>
        <w:pStyle w:val="BodyText"/>
      </w:pPr>
      <w:r>
        <w:t xml:space="preserve">Overall Performance Rating: Exceeds Expectations</w:t>
      </w:r>
    </w:p>
    <w:bookmarkEnd w:id="30"/>
    <w:p>
      <w:pPr>
        <w:pStyle w:val="BodyText"/>
      </w:pPr>
      <w:r>
        <w:rPr>
          <w:bCs/>
          <w:b/>
        </w:rPr>
        <w:t xml:space="preserve">Reviewer Signature</w:t>
      </w:r>
      <w:r>
        <w:br/>
      </w:r>
      <w:r>
        <w:t xml:space="preserve">[Reviewer Name]</w:t>
      </w:r>
      <w:r>
        <w:br/>
      </w:r>
      <w:r>
        <w:t xml:space="preserve">Senior Banking Associate</w:t>
      </w:r>
    </w:p>
    <w:p>
      <w:pPr>
        <w:pStyle w:val="BodyText"/>
      </w:pPr>
      <w:r>
        <w:rPr>
          <w:bCs/>
          <w:b/>
        </w:rPr>
        <w:t xml:space="preserve">Banker Acknowledgment</w:t>
      </w:r>
      <w:r>
        <w:br/>
      </w:r>
      <w:r>
        <w:t xml:space="preserve">[Banker Name]</w:t>
      </w:r>
      <w:r>
        <w:br/>
      </w:r>
      <w:r>
        <w:t xml:space="preserve">Date: _______________</w:t>
      </w:r>
    </w:p>
    <w:p>
      <w:pPr>
        <w:pStyle w:val="BodyText"/>
      </w:pPr>
      <w:r>
        <w:t xml:space="preserve">Confidential Document - Internal Use Only. Prepared for the Human Resources and Risk Management Departments.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 Casablanca, Morocco</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