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competencies, and contributions of a Banker operating within the financial sector in Netherlands Amsterdam. The purpose of this evaluation is to provide a comprehensive analysis of the Banker's skills, adherence to regulatory standards, and overall impact on the organization. This report is intended to serve as a constructive tool for professional development and organizational improvement.</w:t>
      </w:r>
    </w:p>
    <w:bookmarkEnd w:id="21"/>
    <w:bookmarkStart w:id="22" w:name="background-and-context"/>
    <w:p>
      <w:pPr>
        <w:pStyle w:val="Heading2"/>
      </w:pPr>
      <w:r>
        <w:t xml:space="preserve">2. Background and Context</w:t>
      </w:r>
    </w:p>
    <w:p>
      <w:pPr>
        <w:pStyle w:val="FirstParagraph"/>
      </w:pPr>
      <w:r>
        <w:t xml:space="preserve">The financial landscape in Netherlands Amsterdam is characterized by its dynamic nature, stringent regulatory environment, and high standards of professionalism. As a key player in this ecosystem, the Banker is expected to demonstrate not only technical expertise but also a deep understanding of local and international financial regulations. This review focuses on the Banker's ability to navigate these complexities while maintaining ethical standards and delivering value to clients and stakeholders.</w:t>
      </w:r>
    </w:p>
    <w:bookmarkEnd w:id="22"/>
    <w:bookmarkStart w:id="23" w:name="evaluation-criteria"/>
    <w:p>
      <w:pPr>
        <w:pStyle w:val="Heading2"/>
      </w:pPr>
      <w:r>
        <w:t xml:space="preserve">3. Evaluation Criteria</w:t>
      </w:r>
    </w:p>
    <w:p>
      <w:pPr>
        <w:pStyle w:val="FirstParagraph"/>
      </w:pPr>
      <w:r>
        <w:t xml:space="preserve">The assessment of the Banker was conducted based on the following criteria:</w:t>
      </w:r>
    </w:p>
    <w:p>
      <w:pPr>
        <w:numPr>
          <w:ilvl w:val="0"/>
          <w:numId w:val="1001"/>
        </w:numPr>
        <w:pStyle w:val="Compact"/>
      </w:pPr>
      <w:r>
        <w:rPr>
          <w:bCs/>
          <w:b/>
        </w:rPr>
        <w:t xml:space="preserve">Technical Competence:</w:t>
      </w:r>
      <w:r>
        <w:t xml:space="preserve"> </w:t>
      </w:r>
      <w:r>
        <w:t xml:space="preserve">Proficiency in financial analysis, risk management, and product knowledge.</w:t>
      </w:r>
    </w:p>
    <w:p>
      <w:pPr>
        <w:numPr>
          <w:ilvl w:val="0"/>
          <w:numId w:val="1001"/>
        </w:numPr>
        <w:pStyle w:val="Compact"/>
      </w:pPr>
      <w:r>
        <w:rPr>
          <w:bCs/>
          <w:b/>
        </w:rPr>
        <w:t xml:space="preserve">Regulatory Compliance:</w:t>
      </w:r>
      <w:r>
        <w:t xml:space="preserve"> </w:t>
      </w:r>
      <w:r>
        <w:t xml:space="preserve">Adherence to Dutch and European financial regulations, including those enforced by the Dutch Central Bank (DNB) and the European Central Bank (ECB).</w:t>
      </w:r>
    </w:p>
    <w:p>
      <w:pPr>
        <w:numPr>
          <w:ilvl w:val="0"/>
          <w:numId w:val="1001"/>
        </w:numPr>
        <w:pStyle w:val="Compact"/>
      </w:pPr>
      <w:r>
        <w:rPr>
          <w:bCs/>
          <w:b/>
        </w:rPr>
        <w:t xml:space="preserve">Client Relationship Management:</w:t>
      </w:r>
      <w:r>
        <w:t xml:space="preserve"> </w:t>
      </w:r>
      <w:r>
        <w:t xml:space="preserve">Ability to build and maintain strong relationships with clients in Netherlands Amsterdam.</w:t>
      </w:r>
    </w:p>
    <w:p>
      <w:pPr>
        <w:numPr>
          <w:ilvl w:val="0"/>
          <w:numId w:val="1001"/>
        </w:numPr>
        <w:pStyle w:val="Compact"/>
      </w:pPr>
      <w:r>
        <w:rPr>
          <w:bCs/>
          <w:b/>
        </w:rPr>
        <w:t xml:space="preserve">Team Collaboration:</w:t>
      </w:r>
      <w:r>
        <w:t xml:space="preserve"> </w:t>
      </w:r>
      <w:r>
        <w:t xml:space="preserve">Contribution to team goals and effective communication with colleagues.</w:t>
      </w:r>
    </w:p>
    <w:p>
      <w:pPr>
        <w:numPr>
          <w:ilvl w:val="0"/>
          <w:numId w:val="1001"/>
        </w:numPr>
        <w:pStyle w:val="Compact"/>
      </w:pPr>
      <w:r>
        <w:rPr>
          <w:bCs/>
          <w:b/>
        </w:rPr>
        <w:t xml:space="preserve">Problem-Solving Skills:</w:t>
      </w:r>
      <w:r>
        <w:t xml:space="preserve"> </w:t>
      </w:r>
      <w:r>
        <w:t xml:space="preserve">Capacity to address challenges and provide innovative solutions.</w:t>
      </w:r>
    </w:p>
    <w:p>
      <w:pPr>
        <w:numPr>
          <w:ilvl w:val="0"/>
          <w:numId w:val="1001"/>
        </w:numPr>
        <w:pStyle w:val="Compact"/>
      </w:pPr>
      <w:r>
        <w:rPr>
          <w:bCs/>
          <w:b/>
        </w:rPr>
        <w:t xml:space="preserve">Ethical Standards:</w:t>
      </w:r>
      <w:r>
        <w:t xml:space="preserve"> </w:t>
      </w:r>
      <w:r>
        <w:t xml:space="preserve">Commitment to integrity, transparency, and professionalism.</w:t>
      </w:r>
    </w:p>
    <w:bookmarkEnd w:id="23"/>
    <w:bookmarkStart w:id="30" w:name="detailed-assessment"/>
    <w:p>
      <w:pPr>
        <w:pStyle w:val="Heading2"/>
      </w:pPr>
      <w:r>
        <w:t xml:space="preserve">4. Detailed Assessment</w:t>
      </w:r>
    </w:p>
    <w:bookmarkStart w:id="24" w:name="technical-competence"/>
    <w:p>
      <w:pPr>
        <w:pStyle w:val="Heading3"/>
      </w:pPr>
      <w:r>
        <w:t xml:space="preserve">4.1 Technical Competence</w:t>
      </w:r>
    </w:p>
    <w:p>
      <w:pPr>
        <w:pStyle w:val="FirstParagraph"/>
      </w:pPr>
      <w:r>
        <w:t xml:space="preserve">The Banker has demonstrated a strong command of financial principles and practices relevant to the Netherlands Amsterdam market. Their ability to analyze complex financial data and provide actionable insights has been commendable. However, there is room for improvement in staying updated with emerging trends in fintech and digital banking, which are rapidly transforming the industry.</w:t>
      </w:r>
    </w:p>
    <w:bookmarkEnd w:id="24"/>
    <w:bookmarkStart w:id="25" w:name="regulatory-compliance"/>
    <w:p>
      <w:pPr>
        <w:pStyle w:val="Heading3"/>
      </w:pPr>
      <w:r>
        <w:t xml:space="preserve">4.2 Regulatory Compliance</w:t>
      </w:r>
    </w:p>
    <w:p>
      <w:pPr>
        <w:pStyle w:val="FirstParagraph"/>
      </w:pPr>
      <w:r>
        <w:t xml:space="preserve">Compliance with regulatory requirements is a critical aspect of the Banker's role. The individual has shown a solid understanding of the regulatory framework in Netherlands Amsterdam, including anti-money laundering (AML) laws and know-your-customer (KYC) procedures. Nevertheless, occasional lapses in documentation accuracy have been noted, which could pose risks if not addressed promptly.</w:t>
      </w:r>
    </w:p>
    <w:bookmarkEnd w:id="25"/>
    <w:bookmarkStart w:id="26" w:name="client-relationship-management"/>
    <w:p>
      <w:pPr>
        <w:pStyle w:val="Heading3"/>
      </w:pPr>
      <w:r>
        <w:t xml:space="preserve">4.3 Client Relationship Management</w:t>
      </w:r>
    </w:p>
    <w:p>
      <w:pPr>
        <w:pStyle w:val="FirstParagraph"/>
      </w:pPr>
      <w:r>
        <w:t xml:space="preserve">The Banker has excelled in building trust and rapport with clients in Netherlands Amsterdam. Their proactive approach to understanding client needs and tailoring solutions accordingly has resulted in high levels of client satisfaction. This strength is particularly valuable in a competitive market where personalized service is a key differentiator.</w:t>
      </w:r>
    </w:p>
    <w:bookmarkEnd w:id="26"/>
    <w:bookmarkStart w:id="27" w:name="team-collaboration"/>
    <w:p>
      <w:pPr>
        <w:pStyle w:val="Heading3"/>
      </w:pPr>
      <w:r>
        <w:t xml:space="preserve">4.4 Team Collaboration</w:t>
      </w:r>
    </w:p>
    <w:p>
      <w:pPr>
        <w:pStyle w:val="FirstParagraph"/>
      </w:pPr>
      <w:r>
        <w:t xml:space="preserve">Within the team, the Banker has been a reliable and supportive colleague. They actively participate in discussions and contribute ideas that enhance collective performance. However, there are opportunities to improve cross-departmental collaboration, particularly with compliance and IT teams, to ensure seamless operations.</w:t>
      </w:r>
    </w:p>
    <w:bookmarkEnd w:id="27"/>
    <w:bookmarkStart w:id="28" w:name="problem-solving-skills"/>
    <w:p>
      <w:pPr>
        <w:pStyle w:val="Heading3"/>
      </w:pPr>
      <w:r>
        <w:t xml:space="preserve">4.5 Problem-Solving Skills</w:t>
      </w:r>
    </w:p>
    <w:p>
      <w:pPr>
        <w:pStyle w:val="FirstParagraph"/>
      </w:pPr>
      <w:r>
        <w:t xml:space="preserve">The Banker has consistently demonstrated effective problem-solving abilities, particularly in resolving client issues and addressing operational challenges. Their analytical mindset and attention to detail enable them to identify root causes and implement practical solutions. Encouraging further development in creative thinking could enhance their ability to innovate in this area.</w:t>
      </w:r>
    </w:p>
    <w:bookmarkEnd w:id="28"/>
    <w:bookmarkStart w:id="29" w:name="ethical-standards"/>
    <w:p>
      <w:pPr>
        <w:pStyle w:val="Heading3"/>
      </w:pPr>
      <w:r>
        <w:t xml:space="preserve">4.6 Ethical Standards</w:t>
      </w:r>
    </w:p>
    <w:p>
      <w:pPr>
        <w:pStyle w:val="FirstParagraph"/>
      </w:pPr>
      <w:r>
        <w:t xml:space="preserve">Integrity and professionalism are hallmarks of the Banker's conduct. They have upheld the highest ethical standards in all interactions, earning respect from peers and clients alike. This commitment to ethics aligns well with the expectations of the financial sector in Netherlands Amsterdam.</w:t>
      </w:r>
    </w:p>
    <w:bookmarkEnd w:id="29"/>
    <w:bookmarkEnd w:id="30"/>
    <w:bookmarkStart w:id="31" w:name="strengths"/>
    <w:p>
      <w:pPr>
        <w:pStyle w:val="Heading2"/>
      </w:pPr>
      <w:r>
        <w:t xml:space="preserve">5. Strengths</w:t>
      </w:r>
    </w:p>
    <w:p>
      <w:pPr>
        <w:numPr>
          <w:ilvl w:val="0"/>
          <w:numId w:val="1002"/>
        </w:numPr>
        <w:pStyle w:val="Compact"/>
      </w:pPr>
      <w:r>
        <w:t xml:space="preserve">Strong technical expertise and analytical skills.</w:t>
      </w:r>
    </w:p>
    <w:p>
      <w:pPr>
        <w:numPr>
          <w:ilvl w:val="0"/>
          <w:numId w:val="1002"/>
        </w:numPr>
        <w:pStyle w:val="Compact"/>
      </w:pPr>
      <w:r>
        <w:t xml:space="preserve">Excellent client relationship management.</w:t>
      </w:r>
    </w:p>
    <w:p>
      <w:pPr>
        <w:numPr>
          <w:ilvl w:val="0"/>
          <w:numId w:val="1002"/>
        </w:numPr>
        <w:pStyle w:val="Compact"/>
      </w:pPr>
      <w:r>
        <w:t xml:space="preserve">High level of professionalism and ethical conduct.</w:t>
      </w:r>
    </w:p>
    <w:p>
      <w:pPr>
        <w:numPr>
          <w:ilvl w:val="0"/>
          <w:numId w:val="1002"/>
        </w:numPr>
        <w:pStyle w:val="Compact"/>
      </w:pPr>
      <w:r>
        <w:t xml:space="preserve">Effective problem-solving abilities.</w:t>
      </w:r>
    </w:p>
    <w:bookmarkEnd w:id="31"/>
    <w:bookmarkStart w:id="32" w:name="areas-for-improvement"/>
    <w:p>
      <w:pPr>
        <w:pStyle w:val="Heading2"/>
      </w:pPr>
      <w:r>
        <w:t xml:space="preserve">6. Areas for Improvement</w:t>
      </w:r>
    </w:p>
    <w:p>
      <w:pPr>
        <w:numPr>
          <w:ilvl w:val="0"/>
          <w:numId w:val="1003"/>
        </w:numPr>
        <w:pStyle w:val="Compact"/>
      </w:pPr>
      <w:r>
        <w:t xml:space="preserve">Enhance knowledge of emerging fintech trends and digital banking innovations.</w:t>
      </w:r>
    </w:p>
    <w:p>
      <w:pPr>
        <w:numPr>
          <w:ilvl w:val="0"/>
          <w:numId w:val="1003"/>
        </w:numPr>
        <w:pStyle w:val="Compact"/>
      </w:pPr>
      <w:r>
        <w:t xml:space="preserve">Improve accuracy in regulatory documentation and reporting.</w:t>
      </w:r>
    </w:p>
    <w:p>
      <w:pPr>
        <w:numPr>
          <w:ilvl w:val="0"/>
          <w:numId w:val="1003"/>
        </w:numPr>
        <w:pStyle w:val="Compact"/>
      </w:pPr>
      <w:r>
        <w:t xml:space="preserve">Strengthen cross-departmental collaboration.</w:t>
      </w:r>
    </w:p>
    <w:p>
      <w:pPr>
        <w:numPr>
          <w:ilvl w:val="0"/>
          <w:numId w:val="1003"/>
        </w:numPr>
        <w:pStyle w:val="Compact"/>
      </w:pPr>
      <w:r>
        <w:t xml:space="preserve">Develop creative problem-solving techniques.</w:t>
      </w:r>
    </w:p>
    <w:bookmarkEnd w:id="32"/>
    <w:bookmarkStart w:id="33" w:name="recommendations"/>
    <w:p>
      <w:pPr>
        <w:pStyle w:val="Heading2"/>
      </w:pPr>
      <w:r>
        <w:t xml:space="preserve">7. Recommendations</w:t>
      </w:r>
    </w:p>
    <w:p>
      <w:pPr>
        <w:pStyle w:val="FirstParagraph"/>
      </w:pPr>
      <w:r>
        <w:t xml:space="preserve">To support the Banker's continued growth and success, the following recommendations are proposed:</w:t>
      </w:r>
    </w:p>
    <w:p>
      <w:pPr>
        <w:numPr>
          <w:ilvl w:val="0"/>
          <w:numId w:val="1004"/>
        </w:numPr>
        <w:pStyle w:val="Compact"/>
      </w:pPr>
      <w:r>
        <w:t xml:space="preserve">Enroll in training programs focused on fintech and digital transformation.</w:t>
      </w:r>
    </w:p>
    <w:p>
      <w:pPr>
        <w:numPr>
          <w:ilvl w:val="0"/>
          <w:numId w:val="1004"/>
        </w:numPr>
        <w:pStyle w:val="Compact"/>
      </w:pPr>
      <w:r>
        <w:t xml:space="preserve">Implement regular audits of documentation processes to ensure compliance accuracy.</w:t>
      </w:r>
    </w:p>
    <w:p>
      <w:pPr>
        <w:numPr>
          <w:ilvl w:val="0"/>
          <w:numId w:val="1004"/>
        </w:numPr>
        <w:pStyle w:val="Compact"/>
      </w:pPr>
      <w:r>
        <w:t xml:space="preserve">Facilitate workshops or meetings to foster better collaboration across departments.</w:t>
      </w:r>
    </w:p>
    <w:p>
      <w:pPr>
        <w:numPr>
          <w:ilvl w:val="0"/>
          <w:numId w:val="1004"/>
        </w:numPr>
        <w:pStyle w:val="Compact"/>
      </w:pPr>
      <w:r>
        <w:t xml:space="preserve">Encourage participation in innovation-focused projects to hone creative problem-solving skills.</w:t>
      </w:r>
    </w:p>
    <w:bookmarkEnd w:id="33"/>
    <w:bookmarkStart w:id="34" w:name="conclusion"/>
    <w:p>
      <w:pPr>
        <w:pStyle w:val="Heading2"/>
      </w:pPr>
      <w:r>
        <w:t xml:space="preserve">8. Conclusion</w:t>
      </w:r>
    </w:p>
    <w:p>
      <w:pPr>
        <w:pStyle w:val="FirstParagraph"/>
      </w:pPr>
      <w:r>
        <w:t xml:space="preserve">This Peer Review Report highlights the Banker's significant contributions to the organization and their alignment with the demands of the financial sector in Netherlands Amsterdam. While there are areas for improvement, the Banker's strengths position them as a valuable asset to the team. By addressing the identified gaps and leveraging the recommended strategies, the Banker can further enhance their performance and continue to thrive in this competitive environment.</w:t>
      </w:r>
    </w:p>
    <w:bookmarkEnd w:id="34"/>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[Reviewer's Title]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2026-10-10T03:51:16Z</dcterms:created>
  <dcterms:modified xsi:type="dcterms:W3CDTF">2026-10-10T03:51:16Z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