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Comprehensive Performance and Competency Assessment</w:t>
      </w:r>
    </w:p>
    <w:bookmarkEnd w:id="20"/>
    <w:p>
      <w:pPr>
        <w:pStyle w:val="BodyText"/>
      </w:pPr>
      <w:r>
        <w:rPr>
          <w:bCs/>
          <w:b/>
        </w:rPr>
        <w:t xml:space="preserve">Role Under Review:</w:t>
      </w:r>
      <w:r>
        <w:t xml:space="preserve"> </w:t>
      </w:r>
      <w:r>
        <w:t xml:space="preserve">Banker (Relationship Manager / Senior Teller)</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Branch Manager</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performance, technical competency, and cultural alignment of the subject</w:t>
      </w:r>
      <w:r>
        <w:t xml:space="preserve"> </w:t>
      </w:r>
      <w:r>
        <w:rPr>
          <w:bCs/>
          <w:b/>
        </w:rPr>
        <w:t xml:space="preserve">Banker</w:t>
      </w:r>
      <w:r>
        <w:t xml:space="preserve"> </w:t>
      </w:r>
      <w:r>
        <w:t xml:space="preserve">operating within the dynamic financial landscape of</w:t>
      </w:r>
      <w:r>
        <w:t xml:space="preserve"> </w:t>
      </w:r>
      <w:r>
        <w:rPr>
          <w:bCs/>
          <w:b/>
        </w:rPr>
        <w:t xml:space="preserve">New Zealand Auckland</w:t>
      </w:r>
      <w:r>
        <w:t xml:space="preserve">. The primary objective of this assessment is to provide a holistic view of the banker's ability to manage client relationships, adhere to regulatory standards, and contribute to the branch's strategic goals. Given the competitive nature of the Auckland banking sector, this review focuses heavily on adaptability, local market knowledge, and the integration of traditional banking values with modern digital service expectations.</w:t>
      </w:r>
    </w:p>
    <w:bookmarkEnd w:id="21"/>
    <w:bookmarkStart w:id="22" w:name="Xe4eae1425cb15bba6036873923c1b22d10d5b96"/>
    <w:p>
      <w:pPr>
        <w:pStyle w:val="Heading2"/>
      </w:pPr>
      <w:r>
        <w:t xml:space="preserve">2. Contextual Analysis: The Auckland Banking Environment</w:t>
      </w:r>
    </w:p>
    <w:p>
      <w:pPr>
        <w:pStyle w:val="FirstParagraph"/>
      </w:pPr>
      <w:r>
        <w:t xml:space="preserve">To accurately assess the</w:t>
      </w:r>
      <w:r>
        <w:t xml:space="preserve"> </w:t>
      </w:r>
      <w:r>
        <w:rPr>
          <w:bCs/>
          <w:b/>
        </w:rPr>
        <w:t xml:space="preserve">Banker</w:t>
      </w:r>
      <w:r>
        <w:t xml:space="preserve">, it is essential to contextualize their performance within the specific economic and cultural environment of</w:t>
      </w:r>
      <w:r>
        <w:t xml:space="preserve"> </w:t>
      </w:r>
      <w:r>
        <w:rPr>
          <w:bCs/>
          <w:b/>
        </w:rPr>
        <w:t xml:space="preserve">New Zealand Auckland</w:t>
      </w:r>
      <w:r>
        <w:t xml:space="preserve">. As the economic hub of New Zealand, Auckland presents unique challenges and opportunities. The banking sector here is characterized by a diverse clientele, ranging from established Kiwi families to a significant population of international migrants and investors.</w:t>
      </w:r>
    </w:p>
    <w:p>
      <w:pPr>
        <w:pStyle w:val="BodyText"/>
      </w:pPr>
      <w:r>
        <w:t xml:space="preserve">A successful</w:t>
      </w:r>
      <w:r>
        <w:t xml:space="preserve"> </w:t>
      </w:r>
      <w:r>
        <w:rPr>
          <w:bCs/>
          <w:b/>
        </w:rPr>
        <w:t xml:space="preserve">Banker</w:t>
      </w:r>
      <w:r>
        <w:t xml:space="preserve"> </w:t>
      </w:r>
      <w:r>
        <w:t xml:space="preserve">in this region must navigate complex property markets, fluctuating interest rates, and a high demand for personalized financial advice. Furthermore, the cultural fabric of Auckland requires a high degree of cultural intelligence. The</w:t>
      </w:r>
      <w:r>
        <w:t xml:space="preserve"> </w:t>
      </w:r>
      <w:r>
        <w:rPr>
          <w:bCs/>
          <w:b/>
        </w:rPr>
        <w:t xml:space="preserve">Peer Review Report</w:t>
      </w:r>
      <w:r>
        <w:t xml:space="preserve"> </w:t>
      </w:r>
      <w:r>
        <w:t xml:space="preserve">evaluates how well the banker integrates Te Ao Māori (the Māori world view) principles into their client interactions, ensuring that services are respectful, inclusive, and aligned with the values of the local community.</w:t>
      </w:r>
    </w:p>
    <w:bookmarkEnd w:id="22"/>
    <w:bookmarkStart w:id="26" w:name="core-competency-assessment"/>
    <w:p>
      <w:pPr>
        <w:pStyle w:val="Heading2"/>
      </w:pPr>
      <w:r>
        <w:t xml:space="preserve">3. Core Competency Assessment</w:t>
      </w:r>
    </w:p>
    <w:bookmarkStart w:id="23" w:name="client-relationship-management"/>
    <w:p>
      <w:pPr>
        <w:pStyle w:val="Heading3"/>
      </w:pPr>
      <w:r>
        <w:t xml:space="preserve">3.1 Client Relationship Management</w:t>
      </w:r>
    </w:p>
    <w:p>
      <w:pPr>
        <w:pStyle w:val="FirstParagraph"/>
      </w:pPr>
      <w:r>
        <w:t xml:space="preserve">The subject</w:t>
      </w:r>
      <w:r>
        <w:t xml:space="preserve"> </w:t>
      </w:r>
      <w:r>
        <w:rPr>
          <w:bCs/>
          <w:b/>
        </w:rPr>
        <w:t xml:space="preserve">Banker</w:t>
      </w:r>
      <w:r>
        <w:t xml:space="preserve"> </w:t>
      </w:r>
      <w:r>
        <w:t xml:space="preserve">has demonstrated a strong aptitude for building trust-based relationships, a critical factor in the close-knit business community of</w:t>
      </w:r>
      <w:r>
        <w:t xml:space="preserve"> </w:t>
      </w:r>
      <w:r>
        <w:rPr>
          <w:bCs/>
          <w:b/>
        </w:rPr>
        <w:t xml:space="preserve">New Zealand Auckland</w:t>
      </w:r>
      <w:r>
        <w:t xml:space="preserve">. The review highlights the banker's ability to listen actively to client needs, whether they are small business owners in the CBD or residential clients in the suburbs.</w:t>
      </w:r>
    </w:p>
    <w:p>
      <w:pPr>
        <w:numPr>
          <w:ilvl w:val="0"/>
          <w:numId w:val="1001"/>
        </w:numPr>
        <w:pStyle w:val="Compact"/>
      </w:pPr>
      <w:r>
        <w:rPr>
          <w:bCs/>
          <w:b/>
        </w:rPr>
        <w:t xml:space="preserve">Strengths:</w:t>
      </w:r>
      <w:r>
        <w:t xml:space="preserve"> </w:t>
      </w:r>
      <w:r>
        <w:t xml:space="preserve">High retention rates among existing clients; proactive communication regarding market changes affecting Auckland property values.</w:t>
      </w:r>
    </w:p>
    <w:p>
      <w:pPr>
        <w:numPr>
          <w:ilvl w:val="0"/>
          <w:numId w:val="1001"/>
        </w:numPr>
        <w:pStyle w:val="Compact"/>
      </w:pPr>
      <w:r>
        <w:rPr>
          <w:bCs/>
          <w:b/>
        </w:rPr>
        <w:t xml:space="preserve">Areas for Improvement:</w:t>
      </w:r>
      <w:r>
        <w:t xml:space="preserve"> </w:t>
      </w:r>
      <w:r>
        <w:t xml:space="preserve">Further development in cross-selling digital banking solutions to older demographics who prefer face-to-face interactions.</w:t>
      </w:r>
    </w:p>
    <w:bookmarkEnd w:id="23"/>
    <w:bookmarkStart w:id="24" w:name="X101ecc4296dd6393e0a669a519e77b87c8106e0"/>
    <w:p>
      <w:pPr>
        <w:pStyle w:val="Heading3"/>
      </w:pPr>
      <w:r>
        <w:t xml:space="preserve">3.2 Regulatory Compliance and Risk Management</w:t>
      </w:r>
    </w:p>
    <w:p>
      <w:pPr>
        <w:pStyle w:val="FirstParagraph"/>
      </w:pPr>
      <w:r>
        <w:t xml:space="preserve">Adherence to the Reserve Bank of New Zealand (RBNZ) guidelines and the Financial Markets Conduct Act is non-negotiable. This</w:t>
      </w:r>
      <w:r>
        <w:t xml:space="preserve"> </w:t>
      </w:r>
      <w:r>
        <w:rPr>
          <w:bCs/>
          <w:b/>
        </w:rPr>
        <w:t xml:space="preserve">Peer Review Report</w:t>
      </w:r>
      <w:r>
        <w:t xml:space="preserve"> </w:t>
      </w:r>
      <w:r>
        <w:t xml:space="preserve">confirms that the</w:t>
      </w:r>
      <w:r>
        <w:t xml:space="preserve"> </w:t>
      </w:r>
      <w:r>
        <w:rPr>
          <w:bCs/>
          <w:b/>
        </w:rPr>
        <w:t xml:space="preserve">Banker</w:t>
      </w:r>
      <w:r>
        <w:t xml:space="preserve"> </w:t>
      </w:r>
      <w:r>
        <w:t xml:space="preserve">maintains a rigorous standard of compliance. The banker has shown particular diligence in Anti-Money Laundering (AML) and Counter-Terrorism Financing (CTF) checks, which are increasingly scrutinized in Auckland's high-volume transaction environment.</w:t>
      </w:r>
    </w:p>
    <w:p>
      <w:pPr>
        <w:pStyle w:val="BodyText"/>
      </w:pPr>
      <w:r>
        <w:t xml:space="preserve">The banker consistently documents client interactions thoroughly and ensures that all financial advice provided is suitable for the client's specific risk profile and financial situation.</w:t>
      </w:r>
    </w:p>
    <w:bookmarkEnd w:id="24"/>
    <w:bookmarkStart w:id="25" w:name="X193e9644bd22569c702ac624b25a4cefcf3b628"/>
    <w:p>
      <w:pPr>
        <w:pStyle w:val="Heading3"/>
      </w:pPr>
      <w:r>
        <w:t xml:space="preserve">3.3 Technical Proficiency and Digital Adaptation</w:t>
      </w:r>
    </w:p>
    <w:p>
      <w:pPr>
        <w:pStyle w:val="FirstParagraph"/>
      </w:pPr>
      <w:r>
        <w:t xml:space="preserve">The banking landscape in</w:t>
      </w:r>
      <w:r>
        <w:t xml:space="preserve"> </w:t>
      </w:r>
      <w:r>
        <w:rPr>
          <w:bCs/>
          <w:b/>
        </w:rPr>
        <w:t xml:space="preserve">New Zealand Auckland</w:t>
      </w:r>
      <w:r>
        <w:t xml:space="preserve"> </w:t>
      </w:r>
      <w:r>
        <w:t xml:space="preserve">is rapidly digitizing. The</w:t>
      </w:r>
      <w:r>
        <w:t xml:space="preserve"> </w:t>
      </w:r>
      <w:r>
        <w:rPr>
          <w:bCs/>
          <w:b/>
        </w:rPr>
        <w:t xml:space="preserve">Banker</w:t>
      </w:r>
      <w:r>
        <w:t xml:space="preserve"> </w:t>
      </w:r>
      <w:r>
        <w:t xml:space="preserve">is expected to be proficient not only in core banking systems but also in guiding clients through mobile banking apps and online platforms. The review indicates that the banker is technically competent and acts as a bridge between complex digital tools and clients who may find them intimidating.</w:t>
      </w:r>
    </w:p>
    <w:bookmarkEnd w:id="25"/>
    <w:bookmarkEnd w:id="26"/>
    <w:bookmarkStart w:id="27" w:name="cultural-intelligence-and-soft-skills"/>
    <w:p>
      <w:pPr>
        <w:pStyle w:val="Heading2"/>
      </w:pPr>
      <w:r>
        <w:t xml:space="preserve">4. Cultural Intelligence and Soft Skills</w:t>
      </w:r>
    </w:p>
    <w:p>
      <w:pPr>
        <w:pStyle w:val="FirstParagraph"/>
      </w:pPr>
      <w:r>
        <w:t xml:space="preserve">A defining characteristic of a top-tier</w:t>
      </w:r>
      <w:r>
        <w:t xml:space="preserve"> </w:t>
      </w:r>
      <w:r>
        <w:rPr>
          <w:bCs/>
          <w:b/>
        </w:rPr>
        <w:t xml:space="preserve">Banker</w:t>
      </w:r>
      <w:r>
        <w:t xml:space="preserve"> </w:t>
      </w:r>
      <w:r>
        <w:t xml:space="preserve">in Auckland is cultural intelligence. This</w:t>
      </w:r>
      <w:r>
        <w:t xml:space="preserve"> </w:t>
      </w:r>
      <w:r>
        <w:rPr>
          <w:bCs/>
          <w:b/>
        </w:rPr>
        <w:t xml:space="preserve">Peer Review Report</w:t>
      </w:r>
      <w:r>
        <w:t xml:space="preserve"> </w:t>
      </w:r>
      <w:r>
        <w:t xml:space="preserve">places significant weight on the banker's ability to engage with a multicultural workforce and clientele. The subject has shown commendable respect for diversity, utilizing appropriate greetings and acknowledging cultural nuances during client meetings.</w:t>
      </w:r>
    </w:p>
    <w:p>
      <w:pPr>
        <w:pStyle w:val="BodyText"/>
      </w:pPr>
      <w:r>
        <w:t xml:space="preserve">Additionally, the "Kiwi" value of approachability and humility is evident in the banker's demeanor. They avoid overly aggressive sales tactics, favoring a consultative approach that resonates well with the local population. This soft skill is vital for long-term brand loyalty in the Auckland market.</w:t>
      </w:r>
    </w:p>
    <w:bookmarkEnd w:id="27"/>
    <w:bookmarkStart w:id="28" w:name="performance-metrics-and-data-analysis"/>
    <w:p>
      <w:pPr>
        <w:pStyle w:val="Heading2"/>
      </w:pPr>
      <w:r>
        <w:t xml:space="preserve">5. Performance Metrics and Data Analysis</w:t>
      </w:r>
    </w:p>
    <w:p>
      <w:pPr>
        <w:pStyle w:val="FirstParagraph"/>
      </w:pPr>
      <w:r>
        <w:rPr>
          <w:bCs/>
          <w:b/>
        </w:rPr>
        <w:t xml:space="preserve">Overall Performance Rating:</w:t>
      </w:r>
      <w:r>
        <w:t xml:space="preserve"> </w:t>
      </w:r>
      <w:r>
        <w:t xml:space="preserve">Exceeds Expectations</w:t>
      </w:r>
    </w:p>
    <w:p>
      <w:pPr>
        <w:pStyle w:val="BodyText"/>
      </w:pPr>
      <w:r>
        <w:rPr>
          <w:bCs/>
          <w:b/>
        </w:rPr>
        <w:t xml:space="preserve">Key Metrics:</w:t>
      </w:r>
    </w:p>
    <w:p>
      <w:pPr>
        <w:numPr>
          <w:ilvl w:val="0"/>
          <w:numId w:val="1002"/>
        </w:numPr>
        <w:pStyle w:val="Compact"/>
      </w:pPr>
      <w:r>
        <w:t xml:space="preserve">Client Satisfaction Score (CSAT): 4.8/5.0</w:t>
      </w:r>
    </w:p>
    <w:p>
      <w:pPr>
        <w:numPr>
          <w:ilvl w:val="0"/>
          <w:numId w:val="1002"/>
        </w:numPr>
        <w:pStyle w:val="Compact"/>
      </w:pPr>
      <w:r>
        <w:t xml:space="preserve">Loan Book Growth: 12% above branch average</w:t>
      </w:r>
    </w:p>
    <w:p>
      <w:pPr>
        <w:numPr>
          <w:ilvl w:val="0"/>
          <w:numId w:val="1002"/>
        </w:numPr>
        <w:pStyle w:val="Compact"/>
      </w:pPr>
      <w:r>
        <w:t xml:space="preserve">Compliance Audit Errors: 0</w:t>
      </w:r>
    </w:p>
    <w:p>
      <w:pPr>
        <w:pStyle w:val="FirstParagraph"/>
      </w:pPr>
      <w:r>
        <w:t xml:space="preserve">The quantitative data supports the qualitative findings of this</w:t>
      </w:r>
      <w:r>
        <w:t xml:space="preserve"> </w:t>
      </w:r>
      <w:r>
        <w:rPr>
          <w:bCs/>
          <w:b/>
        </w:rPr>
        <w:t xml:space="preserve">Peer Review Report</w:t>
      </w:r>
      <w:r>
        <w:t xml:space="preserve">. The</w:t>
      </w:r>
      <w:r>
        <w:t xml:space="preserve"> </w:t>
      </w:r>
      <w:r>
        <w:rPr>
          <w:bCs/>
          <w:b/>
        </w:rPr>
        <w:t xml:space="preserve">Banker</w:t>
      </w:r>
      <w:r>
        <w:t xml:space="preserve"> </w:t>
      </w:r>
      <w:r>
        <w:t xml:space="preserve">has consistently met or exceeded targets related to deposit growth and lending volumes. However, the review notes that while volume is high, the banker should focus on the quality of the portfolio, ensuring that lending in Auckland's volatile property market remains conservative and risk-aware.</w:t>
      </w:r>
    </w:p>
    <w:bookmarkEnd w:id="28"/>
    <w:bookmarkStart w:id="29"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made for the continued professional development of the</w:t>
      </w:r>
      <w:r>
        <w:t xml:space="preserve"> </w:t>
      </w:r>
      <w:r>
        <w:rPr>
          <w:bCs/>
          <w:b/>
        </w:rPr>
        <w:t xml:space="preserve">Banker</w:t>
      </w:r>
      <w:r>
        <w:t xml:space="preserve">:</w:t>
      </w:r>
    </w:p>
    <w:p>
      <w:pPr>
        <w:numPr>
          <w:ilvl w:val="0"/>
          <w:numId w:val="1003"/>
        </w:numPr>
        <w:pStyle w:val="Compact"/>
      </w:pPr>
      <w:r>
        <w:rPr>
          <w:bCs/>
          <w:b/>
        </w:rPr>
        <w:t xml:space="preserve">Advanced Financial Planning Certification:</w:t>
      </w:r>
      <w:r>
        <w:t xml:space="preserve"> </w:t>
      </w:r>
      <w:r>
        <w:t xml:space="preserve">To better serve high-net-worth individuals in Auckland, the banker should pursue advanced certification in wealth management.</w:t>
      </w:r>
    </w:p>
    <w:p>
      <w:pPr>
        <w:numPr>
          <w:ilvl w:val="0"/>
          <w:numId w:val="1003"/>
        </w:numPr>
        <w:pStyle w:val="Compact"/>
      </w:pPr>
      <w:r>
        <w:rPr>
          <w:bCs/>
          <w:b/>
        </w:rPr>
        <w:t xml:space="preserve">Deepen Local Economic Knowledge:</w:t>
      </w:r>
      <w:r>
        <w:t xml:space="preserve"> </w:t>
      </w:r>
      <w:r>
        <w:t xml:space="preserve">Engage in workshops focused on the specific economic drivers of the Auckland region, including infrastructure projects and zoning changes.</w:t>
      </w:r>
    </w:p>
    <w:p>
      <w:pPr>
        <w:numPr>
          <w:ilvl w:val="0"/>
          <w:numId w:val="1003"/>
        </w:numPr>
        <w:pStyle w:val="Compact"/>
      </w:pPr>
      <w:r>
        <w:rPr>
          <w:bCs/>
          <w:b/>
        </w:rPr>
        <w:t xml:space="preserve">Mentorship Role:</w:t>
      </w:r>
      <w:r>
        <w:t xml:space="preserve"> </w:t>
      </w:r>
      <w:r>
        <w:t xml:space="preserve">Given their strong performance, the banker should be encouraged to mentor junior staff, helping to instill the correct cultural and professional standards within the branch.</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Banker</w:t>
      </w:r>
      <w:r>
        <w:t xml:space="preserve"> </w:t>
      </w:r>
      <w:r>
        <w:t xml:space="preserve">is a valuable asset to the organization. Their performance in</w:t>
      </w:r>
      <w:r>
        <w:t xml:space="preserve"> </w:t>
      </w:r>
      <w:r>
        <w:rPr>
          <w:bCs/>
          <w:b/>
        </w:rPr>
        <w:t xml:space="preserve">New Zealand Auckland</w:t>
      </w:r>
      <w:r>
        <w:t xml:space="preserve"> </w:t>
      </w:r>
      <w:r>
        <w:t xml:space="preserve">reflects a strong understanding of both the technical requirements of banking and the cultural subtleties of the local market. By addressing the minor areas for improvement identified above, the banker is well-positioned for further career advancement and continued success in the New Zealand financial sector.</w:t>
      </w:r>
    </w:p>
    <w:p>
      <w:pPr>
        <w:pStyle w:val="BodyText"/>
      </w:pPr>
      <w:r>
        <w:rPr>
          <w:bCs/>
          <w:b/>
        </w:rPr>
        <w:t xml:space="preserve">Reviewer Signature:</w:t>
      </w:r>
    </w:p>
    <w:p>
      <w:pPr>
        <w:pStyle w:val="BodyText"/>
      </w:pPr>
      <w:r>
        <w:t xml:space="preserve">__________________________</w:t>
      </w:r>
    </w:p>
    <w:p>
      <w:pPr>
        <w:pStyle w:val="BodyText"/>
      </w:pPr>
      <w:r>
        <w:t xml:space="preserve">Senior Branch Manager</w:t>
      </w:r>
    </w:p>
    <w:p>
      <w:pPr>
        <w:pStyle w:val="BodyText"/>
      </w:pPr>
      <w:r>
        <w:rPr>
          <w:bCs/>
          <w:b/>
        </w:rPr>
        <w:t xml:space="preserve">Banker Acknowledgement:</w:t>
      </w:r>
    </w:p>
    <w:p>
      <w:pPr>
        <w:pStyle w:val="BodyText"/>
      </w:pPr>
      <w:r>
        <w:t xml:space="preserve">__________________________</w:t>
      </w:r>
    </w:p>
    <w:p>
      <w:pPr>
        <w:pStyle w:val="BodyText"/>
      </w:pPr>
      <w:r>
        <w:t xml:space="preserve">Date: ____________________</w:t>
      </w:r>
    </w:p>
    <w:p>
      <w:pPr>
        <w:pStyle w:val="BodyText"/>
      </w:pPr>
      <w:r>
        <w:t xml:space="preserve">© 2023 Internal Human Resources Department. This document is confidential and intended solely for the use of the individual or entity to whom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2026-10-10T05:53:05Z</dcterms:created>
  <dcterms:modified xsi:type="dcterms:W3CDTF">2026-10-10T05:53:05Z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