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Performance Evaluation of Banker Role</w:t>
      </w:r>
    </w:p>
    <w:p>
      <w:pPr>
        <w:pStyle w:val="BodyText"/>
      </w:pPr>
      <w:r>
        <w:t xml:space="preserve">Location:</w:t>
      </w:r>
      <w:r>
        <w:t xml:space="preserve"> </w:t>
      </w:r>
      <w:r>
        <w:t xml:space="preserve">Moscow, Russia</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performance, technical competency, and interpersonal effectiveness of the subject Banker operating within the financial district of Moscow, Russia. The review is conducted by immediate colleagues and cross-functional peers to ensure an objective evaluation of the Banker's contribution to the institution's strategic goals.</w:t>
      </w:r>
    </w:p>
    <w:p>
      <w:pPr>
        <w:pStyle w:val="BodyText"/>
      </w:pPr>
      <w:r>
        <w:t xml:space="preserve">The Moscow financial landscape is characterized by rapid regulatory changes, high client expectations, and complex geopolitical economic factors. Therefore, this report specifically evaluates how the Banker navigates these unique local challenges while maintaining high standards of service, compliance, and profitability. The overall consensus among peers is that the Banker demonstrates strong technical acumen and a deep understanding of the Russian banking sector, though there are specific areas regarding cross-cultural communication and digital adaptation that require attention.</w:t>
      </w:r>
    </w:p>
    <w:bookmarkEnd w:id="21"/>
    <w:bookmarkStart w:id="22" w:name="subject-profile"/>
    <w:p>
      <w:pPr>
        <w:pStyle w:val="Heading2"/>
      </w:pPr>
      <w:r>
        <w:t xml:space="preserve">2. Subject Profile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Role:</w:t>
            </w:r>
          </w:p>
        </w:tc>
        <w:tc>
          <w:tcPr/>
          <w:p>
            <w:pPr>
              <w:pStyle w:val="Compact"/>
              <w:jc w:val="left"/>
            </w:pPr>
            <w:r>
              <w:t xml:space="preserve">Senior Corporate Banker</w:t>
            </w:r>
          </w:p>
        </w:tc>
      </w:tr>
      <w:tr>
        <w:tc>
          <w:tcPr/>
          <w:p>
            <w:pPr>
              <w:pStyle w:val="Compact"/>
              <w:jc w:val="left"/>
            </w:pPr>
            <w:r>
              <w:rPr>
                <w:bCs/>
                <w:b/>
              </w:rPr>
              <w:t xml:space="preserve">Department:</w:t>
            </w:r>
          </w:p>
        </w:tc>
        <w:tc>
          <w:tcPr/>
          <w:p>
            <w:pPr>
              <w:pStyle w:val="Compact"/>
              <w:jc w:val="left"/>
            </w:pPr>
            <w:r>
              <w:t xml:space="preserve">Corporate &amp; Investment Banking</w:t>
            </w:r>
          </w:p>
        </w:tc>
      </w:tr>
      <w:tr>
        <w:tc>
          <w:tcPr/>
          <w:p>
            <w:pPr>
              <w:pStyle w:val="Compact"/>
              <w:jc w:val="left"/>
            </w:pPr>
            <w:r>
              <w:rPr>
                <w:bCs/>
                <w:b/>
              </w:rPr>
              <w:t xml:space="preserve">Location:</w:t>
            </w:r>
          </w:p>
        </w:tc>
        <w:tc>
          <w:tcPr/>
          <w:p>
            <w:pPr>
              <w:pStyle w:val="Compact"/>
              <w:jc w:val="left"/>
            </w:pPr>
            <w:r>
              <w:t xml:space="preserve">Moscow City Business Center, Russia</w:t>
            </w:r>
          </w:p>
        </w:tc>
      </w:tr>
      <w:tr>
        <w:tc>
          <w:tcPr/>
          <w:p>
            <w:pPr>
              <w:pStyle w:val="Compact"/>
              <w:jc w:val="left"/>
            </w:pPr>
            <w:r>
              <w:rPr>
                <w:bCs/>
                <w:b/>
              </w:rPr>
              <w:t xml:space="preserve">Years of Experience:</w:t>
            </w:r>
          </w:p>
        </w:tc>
        <w:tc>
          <w:tcPr/>
          <w:p>
            <w:pPr>
              <w:pStyle w:val="Compact"/>
              <w:jc w:val="left"/>
            </w:pPr>
            <w:r>
              <w:t xml:space="preserve">7 Years</w:t>
            </w:r>
          </w:p>
        </w:tc>
      </w:tr>
      <w:tr>
        <w:tc>
          <w:tcPr/>
          <w:p>
            <w:pPr>
              <w:pStyle w:val="Compact"/>
              <w:jc w:val="left"/>
            </w:pPr>
            <w:r>
              <w:rPr>
                <w:bCs/>
                <w:b/>
              </w:rPr>
              <w:t xml:space="preserve">Primary Responsibilities:</w:t>
            </w:r>
          </w:p>
        </w:tc>
        <w:tc>
          <w:tcPr/>
          <w:p>
            <w:pPr>
              <w:pStyle w:val="Compact"/>
              <w:jc w:val="left"/>
            </w:pPr>
            <w:r>
              <w:t xml:space="preserve">Client relationship management, credit risk analysis, loan structuring, regulatory compliance.</w:t>
            </w:r>
          </w:p>
        </w:tc>
      </w:tr>
    </w:tbl>
    <w:bookmarkEnd w:id="22"/>
    <w:bookmarkStart w:id="26" w:name="core-competency-evaluation"/>
    <w:p>
      <w:pPr>
        <w:pStyle w:val="Heading2"/>
      </w:pPr>
      <w:r>
        <w:t xml:space="preserve">3. Core Competency Evaluation</w:t>
      </w:r>
    </w:p>
    <w:bookmarkStart w:id="23" w:name="technical-expertise-and-financial-acumen"/>
    <w:p>
      <w:pPr>
        <w:pStyle w:val="Heading3"/>
      </w:pPr>
      <w:r>
        <w:t xml:space="preserve">3.1 Technical Expertise and Financial Acumen</w:t>
      </w:r>
    </w:p>
    <w:p>
      <w:pPr>
        <w:pStyle w:val="FirstParagraph"/>
      </w:pPr>
      <w:r>
        <w:t xml:space="preserve">The Banker exhibits exceptional technical knowledge relevant to the Moscow market. Peers have noted a sophisticated understanding of local interest rate mechanisms, currency fluctuation risks (particularly regarding the Ruble), and the intricacies of Central Bank of Russia regulations. The Banker's ability to structure complex financing solutions for local enterprises has been rated highly.</w:t>
      </w:r>
    </w:p>
    <w:p>
      <w:pPr>
        <w:numPr>
          <w:ilvl w:val="0"/>
          <w:numId w:val="1001"/>
        </w:numPr>
        <w:pStyle w:val="Compact"/>
      </w:pPr>
      <w:r>
        <w:rPr>
          <w:bCs/>
          <w:b/>
        </w:rPr>
        <w:t xml:space="preserve">Strength:</w:t>
      </w:r>
      <w:r>
        <w:t xml:space="preserve"> </w:t>
      </w:r>
      <w:r>
        <w:t xml:space="preserve">Demonstrates superior analytical skills in assessing creditworthiness of Russian SMEs and large corporations.</w:t>
      </w:r>
    </w:p>
    <w:p>
      <w:pPr>
        <w:numPr>
          <w:ilvl w:val="0"/>
          <w:numId w:val="1001"/>
        </w:numPr>
        <w:pStyle w:val="Compact"/>
      </w:pPr>
      <w:r>
        <w:rPr>
          <w:bCs/>
          <w:b/>
        </w:rPr>
        <w:t xml:space="preserve">Strength:</w:t>
      </w:r>
      <w:r>
        <w:t xml:space="preserve"> </w:t>
      </w:r>
      <w:r>
        <w:t xml:space="preserve">Proficient in utilizing local banking software and internal risk management systems.</w:t>
      </w:r>
    </w:p>
    <w:bookmarkEnd w:id="23"/>
    <w:bookmarkStart w:id="24" w:name="client-relationship-management"/>
    <w:p>
      <w:pPr>
        <w:pStyle w:val="Heading3"/>
      </w:pPr>
      <w:r>
        <w:t xml:space="preserve">3.2 Client Relationship Management</w:t>
      </w:r>
    </w:p>
    <w:p>
      <w:pPr>
        <w:pStyle w:val="FirstParagraph"/>
      </w:pPr>
      <w:r>
        <w:t xml:space="preserve">In the context of Moscow's business culture, relationship building is paramount. The Banker has successfully cultivated a robust network of clients. Peers observe that the Banker respects local business etiquette and understands the importance of personal trust in closing deals. However, some feedback suggests that while relationships are strong, the Banker could improve in documenting client interactions more rigorously within the CRM system.</w:t>
      </w:r>
    </w:p>
    <w:bookmarkEnd w:id="24"/>
    <w:bookmarkStart w:id="25" w:name="X101ecc4296dd6393e0a669a519e77b87c8106e0"/>
    <w:p>
      <w:pPr>
        <w:pStyle w:val="Heading3"/>
      </w:pPr>
      <w:r>
        <w:t xml:space="preserve">3.3 Regulatory Compliance and Risk Management</w:t>
      </w:r>
    </w:p>
    <w:p>
      <w:pPr>
        <w:pStyle w:val="FirstParagraph"/>
      </w:pPr>
      <w:r>
        <w:t xml:space="preserve">Given the stringent regulatory environment in Russia, compliance is a critical metric. The Banker consistently adheres to Anti-Money Laundering (AML) and Know Your Customer (KYC) protocols. Peers commend the Banker for proactively updating their knowledge base regarding new sanctions and financial laws affecting operations in Moscow.</w:t>
      </w:r>
    </w:p>
    <w:bookmarkEnd w:id="25"/>
    <w:bookmarkEnd w:id="26"/>
    <w:bookmarkStart w:id="29" w:name="peer-feedback-summary"/>
    <w:p>
      <w:pPr>
        <w:pStyle w:val="Heading2"/>
      </w:pPr>
      <w:r>
        <w:t xml:space="preserve">4. Peer Feedback Summary</w:t>
      </w:r>
    </w:p>
    <w:p>
      <w:pPr>
        <w:pStyle w:val="FirstParagraph"/>
      </w:pPr>
      <w:r>
        <w:t xml:space="preserve">The following insights are aggregated from anonymous feedback provided by colleagues across Risk, Sales, and Operations departments.</w:t>
      </w:r>
    </w:p>
    <w:bookmarkStart w:id="27" w:name="positive-feedback"/>
    <w:p>
      <w:pPr>
        <w:pStyle w:val="Heading3"/>
      </w:pPr>
      <w:r>
        <w:t xml:space="preserve">Positive Feedback</w:t>
      </w:r>
    </w:p>
    <w:p>
      <w:pPr>
        <w:numPr>
          <w:ilvl w:val="0"/>
          <w:numId w:val="1002"/>
        </w:numPr>
        <w:pStyle w:val="Compact"/>
      </w:pPr>
      <w:r>
        <w:rPr>
          <w:bCs/>
          <w:b/>
        </w:rPr>
        <w:t xml:space="preserve">Collaboration:</w:t>
      </w:r>
      <w:r>
        <w:t xml:space="preserve"> </w:t>
      </w:r>
      <w:r>
        <w:t xml:space="preserve">"The Banker is a reliable partner during deal structuring. They are always willing to share market insights specific to the Moscow region."</w:t>
      </w:r>
    </w:p>
    <w:p>
      <w:pPr>
        <w:numPr>
          <w:ilvl w:val="0"/>
          <w:numId w:val="1002"/>
        </w:numPr>
        <w:pStyle w:val="Compact"/>
      </w:pPr>
      <w:r>
        <w:rPr>
          <w:bCs/>
          <w:b/>
        </w:rPr>
        <w:t xml:space="preserve">Problem Solving:</w:t>
      </w:r>
      <w:r>
        <w:t xml:space="preserve"> </w:t>
      </w:r>
      <w:r>
        <w:t xml:space="preserve">"When faced with regulatory hurdles, this Banker finds practical solutions without compromising compliance."</w:t>
      </w:r>
    </w:p>
    <w:p>
      <w:pPr>
        <w:numPr>
          <w:ilvl w:val="0"/>
          <w:numId w:val="1002"/>
        </w:numPr>
        <w:pStyle w:val="Compact"/>
      </w:pPr>
      <w:r>
        <w:rPr>
          <w:bCs/>
          <w:b/>
        </w:rPr>
        <w:t xml:space="preserve">Work Ethic:</w:t>
      </w:r>
      <w:r>
        <w:t xml:space="preserve"> </w:t>
      </w:r>
      <w:r>
        <w:t xml:space="preserve">"Demonstrates high dedication, often going above and beyond to meet client deadlines in a fast-paced environment."</w:t>
      </w:r>
    </w:p>
    <w:bookmarkEnd w:id="27"/>
    <w:bookmarkStart w:id="28" w:name="areas-for-improvement"/>
    <w:p>
      <w:pPr>
        <w:pStyle w:val="Heading3"/>
      </w:pPr>
      <w:r>
        <w:t xml:space="preserve">Areas for Improvement</w:t>
      </w:r>
    </w:p>
    <w:p>
      <w:pPr>
        <w:numPr>
          <w:ilvl w:val="0"/>
          <w:numId w:val="1003"/>
        </w:numPr>
        <w:pStyle w:val="Compact"/>
      </w:pPr>
      <w:r>
        <w:rPr>
          <w:bCs/>
          <w:b/>
        </w:rPr>
        <w:t xml:space="preserve">Digital Adaptation:</w:t>
      </w:r>
      <w:r>
        <w:t xml:space="preserve"> </w:t>
      </w:r>
      <w:r>
        <w:t xml:space="preserve">"While technically strong, the Banker is slower to adopt new fintech tools compared to peers. Faster adoption is needed to stay competitive in Moscow's evolving market."</w:t>
      </w:r>
    </w:p>
    <w:p>
      <w:pPr>
        <w:numPr>
          <w:ilvl w:val="0"/>
          <w:numId w:val="1003"/>
        </w:numPr>
        <w:pStyle w:val="Compact"/>
      </w:pPr>
      <w:r>
        <w:rPr>
          <w:bCs/>
          <w:b/>
        </w:rPr>
        <w:t xml:space="preserve">Communication Clarity:</w:t>
      </w:r>
      <w:r>
        <w:t xml:space="preserve"> </w:t>
      </w:r>
      <w:r>
        <w:t xml:space="preserve">"Occasionally, complex financial explanations are not simplified enough for non-financial stakeholders. Clearer communication is required."</w:t>
      </w:r>
    </w:p>
    <w:p>
      <w:pPr>
        <w:numPr>
          <w:ilvl w:val="0"/>
          <w:numId w:val="1003"/>
        </w:numPr>
        <w:pStyle w:val="Compact"/>
      </w:pPr>
      <w:r>
        <w:rPr>
          <w:bCs/>
          <w:b/>
        </w:rPr>
        <w:t xml:space="preserve">Delegation:</w:t>
      </w:r>
      <w:r>
        <w:t xml:space="preserve"> </w:t>
      </w:r>
      <w:r>
        <w:t xml:space="preserve">"Tends to take on too much individual responsibility. Learning to delegate effectively will improve team efficiency."</w:t>
      </w:r>
    </w:p>
    <w:bookmarkEnd w:id="28"/>
    <w:bookmarkEnd w:id="29"/>
    <w:bookmarkStart w:id="30" w:name="performance-scoring"/>
    <w:p>
      <w:pPr>
        <w:pStyle w:val="Heading2"/>
      </w:pPr>
      <w:r>
        <w:t xml:space="preserve">5. Performance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Assessment</w:t>
            </w:r>
          </w:p>
        </w:tc>
      </w:tr>
      <w:tr>
        <w:tc>
          <w:tcPr/>
          <w:p>
            <w:pPr>
              <w:pStyle w:val="Compact"/>
              <w:jc w:val="left"/>
            </w:pPr>
            <w:r>
              <w:t xml:space="preserve">Technical Knowledge (Banking)</w:t>
            </w:r>
          </w:p>
        </w:tc>
        <w:tc>
          <w:tcPr/>
          <w:p>
            <w:pPr>
              <w:pStyle w:val="Compact"/>
              <w:jc w:val="left"/>
            </w:pPr>
            <w:r>
              <w:t xml:space="preserve">5</w:t>
            </w:r>
          </w:p>
        </w:tc>
        <w:tc>
          <w:tcPr/>
          <w:p>
            <w:pPr>
              <w:pStyle w:val="Compact"/>
              <w:jc w:val="left"/>
            </w:pPr>
            <w:r>
              <w:t xml:space="preserve">Exceeds Expectations</w:t>
            </w:r>
          </w:p>
        </w:tc>
      </w:tr>
      <w:tr>
        <w:tc>
          <w:tcPr/>
          <w:p>
            <w:pPr>
              <w:pStyle w:val="Compact"/>
              <w:jc w:val="left"/>
            </w:pPr>
            <w:r>
              <w:t xml:space="preserve">Client Service &amp; Sales</w:t>
            </w:r>
          </w:p>
        </w:tc>
        <w:tc>
          <w:tcPr/>
          <w:p>
            <w:pPr>
              <w:pStyle w:val="Compact"/>
              <w:jc w:val="left"/>
            </w:pPr>
            <w:r>
              <w:t xml:space="preserve">4</w:t>
            </w:r>
          </w:p>
        </w:tc>
        <w:tc>
          <w:tcPr/>
          <w:p>
            <w:pPr>
              <w:pStyle w:val="Compact"/>
              <w:jc w:val="left"/>
            </w:pPr>
            <w:r>
              <w:t xml:space="preserve">Meets Expectations</w:t>
            </w:r>
          </w:p>
        </w:tc>
      </w:tr>
      <w:tr>
        <w:tc>
          <w:tcPr/>
          <w:p>
            <w:pPr>
              <w:pStyle w:val="Compact"/>
              <w:jc w:val="left"/>
            </w:pPr>
            <w:r>
              <w:t xml:space="preserve">Regulatory Compliance</w:t>
            </w:r>
          </w:p>
        </w:tc>
        <w:tc>
          <w:tcPr/>
          <w:p>
            <w:pPr>
              <w:pStyle w:val="Compact"/>
              <w:jc w:val="left"/>
            </w:pPr>
            <w:r>
              <w:t xml:space="preserve">5</w:t>
            </w:r>
          </w:p>
        </w:tc>
        <w:tc>
          <w:tcPr/>
          <w:p>
            <w:pPr>
              <w:pStyle w:val="Compact"/>
              <w:jc w:val="left"/>
            </w:pPr>
            <w:r>
              <w:t xml:space="preserve">Exceeds Expectations</w:t>
            </w:r>
          </w:p>
        </w:tc>
      </w:tr>
      <w:tr>
        <w:tc>
          <w:tcPr/>
          <w:p>
            <w:pPr>
              <w:pStyle w:val="Compact"/>
              <w:jc w:val="left"/>
            </w:pPr>
            <w:r>
              <w:t xml:space="preserve">Team Collaboration</w:t>
            </w:r>
          </w:p>
        </w:tc>
        <w:tc>
          <w:tcPr/>
          <w:p>
            <w:pPr>
              <w:pStyle w:val="Compact"/>
              <w:jc w:val="left"/>
            </w:pPr>
            <w:r>
              <w:t xml:space="preserve">3</w:t>
            </w:r>
          </w:p>
        </w:tc>
        <w:tc>
          <w:tcPr/>
          <w:p>
            <w:pPr>
              <w:pStyle w:val="Compact"/>
              <w:jc w:val="left"/>
            </w:pPr>
            <w:r>
              <w:t xml:space="preserve">Needs Improvement in Delegation</w:t>
            </w:r>
          </w:p>
        </w:tc>
      </w:tr>
      <w:tr>
        <w:tc>
          <w:tcPr/>
          <w:p>
            <w:pPr>
              <w:pStyle w:val="Compact"/>
              <w:jc w:val="left"/>
            </w:pPr>
            <w:r>
              <w:t xml:space="preserve">Innovation &amp; Adaptability</w:t>
            </w:r>
          </w:p>
        </w:tc>
        <w:tc>
          <w:tcPr/>
          <w:p>
            <w:pPr>
              <w:pStyle w:val="Compact"/>
              <w:jc w:val="left"/>
            </w:pPr>
            <w:r>
              <w:t xml:space="preserve">3</w:t>
            </w:r>
          </w:p>
        </w:tc>
        <w:tc>
          <w:tcPr/>
          <w:p>
            <w:pPr>
              <w:pStyle w:val="Compact"/>
              <w:jc w:val="left"/>
            </w:pPr>
            <w:r>
              <w:t xml:space="preserve">Needs Improvement in Tech Adoption</w:t>
            </w:r>
          </w:p>
        </w:tc>
      </w:tr>
    </w:tbl>
    <w:bookmarkEnd w:id="30"/>
    <w:bookmarkStart w:id="31" w:name="recommendations-and-development-plan"/>
    <w:p>
      <w:pPr>
        <w:pStyle w:val="Heading2"/>
      </w:pPr>
      <w:r>
        <w:t xml:space="preserve">6. Recommendations and Development Plan</w:t>
      </w:r>
    </w:p>
    <w:p>
      <w:pPr>
        <w:pStyle w:val="FirstParagraph"/>
      </w:pPr>
      <w:r>
        <w:t xml:space="preserve">Based on the findings of this Peer Review Report, the following actions are recommended to support the Banker's continued success in the Moscow market:</w:t>
      </w:r>
    </w:p>
    <w:p>
      <w:pPr>
        <w:numPr>
          <w:ilvl w:val="0"/>
          <w:numId w:val="1004"/>
        </w:numPr>
        <w:pStyle w:val="Compact"/>
      </w:pPr>
      <w:r>
        <w:rPr>
          <w:bCs/>
          <w:b/>
        </w:rPr>
        <w:t xml:space="preserve">Professional Development:</w:t>
      </w:r>
      <w:r>
        <w:t xml:space="preserve"> </w:t>
      </w:r>
      <w:r>
        <w:t xml:space="preserve">Enroll in advanced fintech workshops to enhance digital literacy and adaptability to new banking technologies.</w:t>
      </w:r>
    </w:p>
    <w:p>
      <w:pPr>
        <w:numPr>
          <w:ilvl w:val="0"/>
          <w:numId w:val="1004"/>
        </w:numPr>
        <w:pStyle w:val="Compact"/>
      </w:pPr>
      <w:r>
        <w:rPr>
          <w:bCs/>
          <w:b/>
        </w:rPr>
        <w:t xml:space="preserve">Mentorship:</w:t>
      </w:r>
      <w:r>
        <w:t xml:space="preserve"> </w:t>
      </w:r>
      <w:r>
        <w:t xml:space="preserve">Assign a mentor to focus on leadership skills, specifically regarding delegation and team management.</w:t>
      </w:r>
    </w:p>
    <w:p>
      <w:pPr>
        <w:numPr>
          <w:ilvl w:val="0"/>
          <w:numId w:val="1004"/>
        </w:numPr>
        <w:pStyle w:val="Compact"/>
      </w:pPr>
      <w:r>
        <w:rPr>
          <w:bCs/>
          <w:b/>
        </w:rPr>
        <w:t xml:space="preserve">Communication Training:</w:t>
      </w:r>
      <w:r>
        <w:t xml:space="preserve"> </w:t>
      </w:r>
      <w:r>
        <w:t xml:space="preserve">Participate in executive communication courses to improve the ability to convey complex financial concepts to diverse stakeholders.</w:t>
      </w:r>
    </w:p>
    <w:p>
      <w:pPr>
        <w:numPr>
          <w:ilvl w:val="0"/>
          <w:numId w:val="1004"/>
        </w:numPr>
        <w:pStyle w:val="Compact"/>
      </w:pPr>
      <w:r>
        <w:rPr>
          <w:bCs/>
          <w:b/>
        </w:rPr>
        <w:t xml:space="preserve">Market Expansion:</w:t>
      </w:r>
      <w:r>
        <w:t xml:space="preserve"> </w:t>
      </w:r>
      <w:r>
        <w:t xml:space="preserve">Encourage the Banker to leverage their strong local network to explore cross-border opportunities within the Eurasian Economic Union, aligning with the bank's broader strategic goals.</w:t>
      </w:r>
    </w:p>
    <w:bookmarkEnd w:id="31"/>
    <w:p>
      <w:pPr>
        <w:pStyle w:val="FirstParagraph"/>
      </w:pPr>
      <w:r>
        <w:rPr>
          <w:bCs/>
          <w:b/>
        </w:rPr>
        <w:t xml:space="preserve">Reviewed By:</w:t>
      </w:r>
      <w:r>
        <w:t xml:space="preserve"> </w:t>
      </w:r>
      <w:r>
        <w:t xml:space="preserve">[Peer Review Committee Lead]</w:t>
      </w:r>
    </w:p>
    <w:p>
      <w:pPr>
        <w:pStyle w:val="BodyText"/>
      </w:pPr>
      <w:r>
        <w:rPr>
          <w:bCs/>
          <w:b/>
        </w:rPr>
        <w:t xml:space="preserve">Title:</w:t>
      </w:r>
      <w:r>
        <w:t xml:space="preserve"> </w:t>
      </w:r>
      <w:r>
        <w:t xml:space="preserve">Head of Corporate Banking</w:t>
      </w:r>
    </w:p>
    <w:p>
      <w:pPr>
        <w:pStyle w:val="BodyText"/>
      </w:pPr>
      <w:r>
        <w:rPr>
          <w:bCs/>
          <w:b/>
        </w:rPr>
        <w:t xml:space="preserve">Date:</w:t>
      </w:r>
      <w:r>
        <w:t xml:space="preserve"> </w:t>
      </w:r>
      <w:r>
        <w:t xml:space="preserve">October 24, 2023</w:t>
      </w:r>
    </w:p>
    <w:p>
      <w:pPr>
        <w:pStyle w:val="BodyText"/>
      </w:pPr>
      <w:r>
        <w:rPr>
          <w:bCs/>
          <w:b/>
        </w:rPr>
        <w:t xml:space="preserve">Acknowledged By:</w:t>
      </w:r>
      <w:r>
        <w:t xml:space="preserve"> </w:t>
      </w:r>
      <w:r>
        <w:t xml:space="preserve">[Banker Name]</w:t>
      </w:r>
    </w:p>
    <w:p>
      <w:pPr>
        <w:pStyle w:val="BodyText"/>
      </w:pPr>
      <w:r>
        <w:rPr>
          <w:bCs/>
          <w:b/>
        </w:rPr>
        <w:t xml:space="preserve">Title:</w:t>
      </w:r>
      <w:r>
        <w:t xml:space="preserve"> </w:t>
      </w:r>
      <w:r>
        <w:t xml:space="preserve">Senior Corporate Banker</w:t>
      </w:r>
    </w:p>
    <w:p>
      <w:pPr>
        <w:pStyle w:val="BodyText"/>
      </w:pPr>
      <w:r>
        <w:rPr>
          <w:bCs/>
          <w:b/>
        </w:rPr>
        <w:t xml:space="preserve">Date:</w:t>
      </w:r>
      <w:r>
        <w:t xml:space="preserve"> </w:t>
      </w:r>
      <w:r>
        <w:t xml:space="preserve">_________________</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Financial Institution Name. All Rights Reserved.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Moscow, Russia</dc:title>
  <dc:creator/>
  <dc:language>en</dc:language>
  <cp:keywords/>
  <dcterms:created xsi:type="dcterms:W3CDTF">2026-10-10T04:34:50Z</dcterms:created>
  <dcterms:modified xsi:type="dcterms:W3CDTF">2026-10-10T04:34:50Z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