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Performance of Banker</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standing, technical proficiency, and ethical compliance of the designated Banker operating within the financial district of Russia Saint Petersburg. As a pivotal hub for international trade and domestic finance in the Russian Federation, Saint Petersburg presents a unique and complex environment for banking professionals. This report assesses the Banker's ability to navigate the specific regulatory landscape of the Central Bank of Russia, manage high-value client relationships, and maintain operational excellence amidst the current geopolitical and economic conditions affecting the region.</w:t>
      </w:r>
    </w:p>
    <w:p>
      <w:pPr>
        <w:pStyle w:val="BodyText"/>
      </w:pPr>
      <w:r>
        <w:t xml:space="preserve">The review process involved a comprehensive analysis of transaction logs, client feedback, compliance audits, and direct peer observation. The findings indicate a high level of competence, though specific areas regarding adaptive risk management require attention.</w:t>
      </w:r>
    </w:p>
    <w:bookmarkEnd w:id="21"/>
    <w:bookmarkStart w:id="22" w:name="X276f2ee36c299e5cdfc04cb8b75b12268d06dad"/>
    <w:p>
      <w:pPr>
        <w:pStyle w:val="Heading2"/>
      </w:pPr>
      <w:r>
        <w:t xml:space="preserve">2. Contextual Analysis: The Saint Petersburg Financial Landscape</w:t>
      </w:r>
    </w:p>
    <w:p>
      <w:pPr>
        <w:pStyle w:val="FirstParagraph"/>
      </w:pPr>
      <w:r>
        <w:t xml:space="preserve">To accurately assess the Banker, one must understand the operational context of Russia Saint Petersburg. Unlike Moscow, which serves as the primary political and financial capital, Saint Petersburg functions as a critical gateway for Baltic trade, logistics, and manufacturing finance. The Banker is expected to possess specialized knowledge in cross-border payment mechanisms that remain viable under current sanctions regimes and international banking restrictions.</w:t>
      </w:r>
    </w:p>
    <w:p>
      <w:pPr>
        <w:pStyle w:val="BodyText"/>
      </w:pPr>
      <w:r>
        <w:t xml:space="preserve">The local market demands a professional who is not only technically proficient in banking software but also culturally attuned to the business practices of the Northwestern Federal District. This Peer Review Report specifically evaluates how the Banker leverages the strategic importance of Saint Petersburg to facilitate liquidity and credit for local enterprises while adhering to strict national financial regulations.</w:t>
      </w:r>
    </w:p>
    <w:bookmarkEnd w:id="22"/>
    <w:bookmarkStart w:id="25" w:name="X6a3f74db4b9ffaa0f94fbdac0cf57bff5f55a01"/>
    <w:p>
      <w:pPr>
        <w:pStyle w:val="Heading2"/>
      </w:pPr>
      <w:r>
        <w:t xml:space="preserve">3. Technical Competency and Operational Efficiency</w:t>
      </w:r>
    </w:p>
    <w:bookmarkStart w:id="23" w:name="regulatory-compliance"/>
    <w:p>
      <w:pPr>
        <w:pStyle w:val="Heading3"/>
      </w:pPr>
      <w:r>
        <w:t xml:space="preserve">3.1 Regulatory Compliance</w:t>
      </w:r>
    </w:p>
    <w:p>
      <w:pPr>
        <w:pStyle w:val="FirstParagraph"/>
      </w:pPr>
      <w:r>
        <w:t xml:space="preserve">A primary metric for this Banker is adherence to the directives of the Central Bank of Russia. The review confirms that the Banker maintains rigorous standards in Anti-Money Laundering (AML) and Know Your Customer (KYC) protocols. In the context of Russia Saint Petersburg, where trade flows are dense, the Banker has demonstrated an exceptional ability to screen transactions effectively without causing undue friction for legitimate commercial clients. Documentation regarding compliance training is up to date, and no regulatory breaches were identified during the review period.</w:t>
      </w:r>
    </w:p>
    <w:bookmarkEnd w:id="23"/>
    <w:bookmarkStart w:id="24" w:name="financial-instrument-management"/>
    <w:p>
      <w:pPr>
        <w:pStyle w:val="Heading3"/>
      </w:pPr>
      <w:r>
        <w:t xml:space="preserve">3.2 Financial Instrument Management</w:t>
      </w:r>
    </w:p>
    <w:p>
      <w:pPr>
        <w:pStyle w:val="FirstParagraph"/>
      </w:pPr>
      <w:r>
        <w:t xml:space="preserve">The Banker demonstrates strong proficiency in managing complex financial instruments relevant to the local economy, including currency hedging strategies for importers and exporters. Given the volatility of exchange rates affecting the Ruble, the Banker has successfully advised clients on risk mitigation strategies. The ability to structure loans and credit facilities that align with the specific needs of Saint Petersburg’s industrial sector is a notable strength. The Banker’s portfolio shows a healthy balance of risk, with non-performing loans remaining below the regional average.</w:t>
      </w:r>
    </w:p>
    <w:bookmarkEnd w:id="24"/>
    <w:bookmarkEnd w:id="25"/>
    <w:bookmarkStart w:id="26" w:name="client-relationship-and-communication"/>
    <w:p>
      <w:pPr>
        <w:pStyle w:val="Heading2"/>
      </w:pPr>
      <w:r>
        <w:t xml:space="preserve">4. Client Relationship and Communication</w:t>
      </w:r>
    </w:p>
    <w:p>
      <w:pPr>
        <w:pStyle w:val="FirstParagraph"/>
      </w:pPr>
      <w:r>
        <w:t xml:space="preserve">In the banking sector of Russia Saint Petersburg, trust is the currency of business. This Peer Review Report highlights the Banker’s strong interpersonal skills. Feedback from corporate clients indicates that the Banker is responsive, transparent, and capable of explaining complex financial products in clear terms. The Banker has successfully cultivated long-term relationships with key stakeholders in the logistics and technology sectors, which are vital to the city’s economic resilience.</w:t>
      </w:r>
    </w:p>
    <w:p>
      <w:pPr>
        <w:pStyle w:val="BodyText"/>
      </w:pPr>
      <w:r>
        <w:t xml:space="preserve">Furthermore, the Banker’s ability to communicate effectively in both Russian and English is a significant asset, facilitating smoother interactions with international partners where permissible. This bilingual capability enhances the Banker’s value proposition in a city that historically serves as a bridge between Europe and Asia.</w:t>
      </w:r>
    </w:p>
    <w:bookmarkEnd w:id="26"/>
    <w:bookmarkStart w:id="27" w:name="areas-for-improvement"/>
    <w:p>
      <w:pPr>
        <w:pStyle w:val="Heading2"/>
      </w:pPr>
      <w:r>
        <w:t xml:space="preserve">5. Areas for Improvement</w:t>
      </w:r>
    </w:p>
    <w:p>
      <w:pPr>
        <w:pStyle w:val="FirstParagraph"/>
      </w:pPr>
      <w:r>
        <w:t xml:space="preserve">While the overall performance is commendable, this Peer Review Report identifies specific areas where the Banker can enhance their effectiveness:</w:t>
      </w:r>
    </w:p>
    <w:p>
      <w:pPr>
        <w:numPr>
          <w:ilvl w:val="0"/>
          <w:numId w:val="1001"/>
        </w:numPr>
        <w:pStyle w:val="Compact"/>
      </w:pPr>
      <w:r>
        <w:rPr>
          <w:bCs/>
          <w:b/>
        </w:rPr>
        <w:t xml:space="preserve">Digital Transformation Adoption:</w:t>
      </w:r>
      <w:r>
        <w:t xml:space="preserve"> </w:t>
      </w:r>
      <w:r>
        <w:t xml:space="preserve">While the Banker is proficient in traditional banking methods, there is a need to accelerate the adoption of digital banking solutions and fintech integrations that are becoming standard in the Russian market.</w:t>
      </w:r>
    </w:p>
    <w:p>
      <w:pPr>
        <w:numPr>
          <w:ilvl w:val="0"/>
          <w:numId w:val="1001"/>
        </w:numPr>
        <w:pStyle w:val="Compact"/>
      </w:pPr>
      <w:r>
        <w:rPr>
          <w:bCs/>
          <w:b/>
        </w:rPr>
        <w:t xml:space="preserve">Geopolitical Risk Agility:</w:t>
      </w:r>
      <w:r>
        <w:t xml:space="preserve"> </w:t>
      </w:r>
      <w:r>
        <w:t xml:space="preserve">The Banker must continue to refine their agility in responding to sudden shifts in international banking regulations. Proactive scenario planning for potential changes in correspondent banking relationships is recommended.</w:t>
      </w:r>
    </w:p>
    <w:p>
      <w:pPr>
        <w:numPr>
          <w:ilvl w:val="0"/>
          <w:numId w:val="1001"/>
        </w:numPr>
        <w:pStyle w:val="Compact"/>
      </w:pPr>
      <w:r>
        <w:rPr>
          <w:bCs/>
          <w:b/>
        </w:rPr>
        <w:t xml:space="preserve">Local Market Diversification:</w:t>
      </w:r>
      <w:r>
        <w:t xml:space="preserve"> </w:t>
      </w:r>
      <w:r>
        <w:t xml:space="preserve">There is an opportunity to deepen engagement with small and medium-sized enterprises (SMEs) in the Saint Petersburg region, which are currently underserved compared to large corporate clients.</w:t>
      </w:r>
    </w:p>
    <w:bookmarkEnd w:id="27"/>
    <w:bookmarkStart w:id="28" w:name="conclusion-and-recommendations"/>
    <w:p>
      <w:pPr>
        <w:pStyle w:val="Heading2"/>
      </w:pPr>
      <w:r>
        <w:t xml:space="preserve">6. Conclusion and Recommendations</w:t>
      </w:r>
    </w:p>
    <w:p>
      <w:pPr>
        <w:pStyle w:val="FirstParagraph"/>
      </w:pPr>
      <w:r>
        <w:t xml:space="preserve">This Peer Review Report concludes that the Banker is a highly competent professional who meets and often exceeds the expectations required for their role in Russia Saint Petersburg. Their understanding of the local regulatory environment, combined with strong technical skills and client rapport, makes them a valuable asset to the institution.</w:t>
      </w:r>
    </w:p>
    <w:p>
      <w:pPr>
        <w:pStyle w:val="BodyText"/>
      </w:pPr>
      <w:r>
        <w:t xml:space="preserve">It is recommended that the Banker be granted continued operational autonomy, with a mandate to lead a task force focused on digital banking integration for the Saint Petersburg branch. Additionally, further training in advanced geopolitical risk analysis is advised to ensure long-term resilience in their portfolio management.</w:t>
      </w:r>
    </w:p>
    <w:p>
      <w:pPr>
        <w:pStyle w:val="BodyText"/>
      </w:pPr>
      <w:r>
        <w:t xml:space="preserve">The Banker’s performance reflects positively on the institution’s commitment to excellence in one of Russia’s most dynamic financial centers.</w:t>
      </w:r>
    </w:p>
    <w:bookmarkEnd w:id="28"/>
    <w:p>
      <w:pPr>
        <w:pStyle w:val="BodyText"/>
      </w:pPr>
      <w:r>
        <w:rPr>
          <w:bCs/>
          <w:b/>
        </w:rPr>
        <w:t xml:space="preserve">Reviewed By:</w:t>
      </w:r>
    </w:p>
    <w:p>
      <w:pPr>
        <w:pStyle w:val="BodyText"/>
      </w:pPr>
      <w:r>
        <w:t xml:space="preserve">Senior Compliance Officer</w:t>
      </w:r>
    </w:p>
    <w:p>
      <w:pPr>
        <w:pStyle w:val="BodyText"/>
      </w:pPr>
      <w:r>
        <w:t xml:space="preserve">Regional Banking Division</w:t>
      </w:r>
    </w:p>
    <w:p>
      <w:pPr>
        <w:pStyle w:val="BodyText"/>
      </w:pPr>
      <w:r>
        <w:t xml:space="preserve">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 Russia Saint Petersburg</dc:title>
  <dc:creator/>
  <dc:language>en</dc:language>
  <cp:keywords/>
  <dcterms:created xsi:type="dcterms:W3CDTF">2026-10-10T08:15:28Z</dcterms:created>
  <dcterms:modified xsi:type="dcterms:W3CDTF">2026-10-10T08:15:28Z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