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Saudi Arabia, Riyadh</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Peer Review Committee</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competencies, and contributions of a Banker operating within the financial sector in Saudi Arabia, specifically in Riyadh. The purpose of this evaluation is to provide constructive feedback, identify areas of strength, and recommend improvements to enhance overall performance. The review aligns with the standards set by the Saudi Central Bank (SAMA) and reflects the dynamic nature of the banking industry in Riyadh, which is rapidly evolving under the Vision 2030 initiative.</w:t>
      </w:r>
    </w:p>
    <w:bookmarkEnd w:id="21"/>
    <w:bookmarkStart w:id="22" w:name="background-and-context"/>
    <w:p>
      <w:pPr>
        <w:pStyle w:val="Heading2"/>
      </w:pPr>
      <w:r>
        <w:t xml:space="preserve">2. Background and Context</w:t>
      </w:r>
    </w:p>
    <w:p>
      <w:pPr>
        <w:pStyle w:val="FirstParagraph"/>
      </w:pPr>
      <w:r>
        <w:t xml:space="preserve">The banking sector in Saudi Arabia, particularly in Riyadh, plays a pivotal role in driving economic growth and financial inclusion. As the capital city, Riyadh hosts numerous financial institutions, including commercial banks, investment firms, and fintech startups. The Banker under review operates in this competitive environment, where adherence to regulatory requirements, customer-centric service delivery, and innovation are critical success factors.</w:t>
      </w:r>
    </w:p>
    <w:p>
      <w:pPr>
        <w:pStyle w:val="BodyText"/>
      </w:pPr>
      <w:r>
        <w:t xml:space="preserve">This Peer Review Report evaluates the Banker’s performance across several key dimensions, including technical expertise, client relationship management, compliance with SAMA regulations, teamwork, and adaptability to emerging trends in the financial industry.</w:t>
      </w:r>
    </w:p>
    <w:bookmarkEnd w:id="22"/>
    <w:bookmarkStart w:id="23" w:name="evaluation-criteria"/>
    <w:p>
      <w:pPr>
        <w:pStyle w:val="Heading2"/>
      </w:pPr>
      <w:r>
        <w:t xml:space="preserve">3. Evaluation Criteria</w:t>
      </w:r>
    </w:p>
    <w:p>
      <w:pPr>
        <w:pStyle w:val="FirstParagraph"/>
      </w:pPr>
      <w:r>
        <w:t xml:space="preserve">The following criteria were used to assess the Banker’s performance:</w:t>
      </w:r>
    </w:p>
    <w:p>
      <w:pPr>
        <w:numPr>
          <w:ilvl w:val="0"/>
          <w:numId w:val="1001"/>
        </w:numPr>
        <w:pStyle w:val="Compact"/>
      </w:pPr>
      <w:r>
        <w:rPr>
          <w:bCs/>
          <w:b/>
        </w:rPr>
        <w:t xml:space="preserve">Technical Expertise:</w:t>
      </w:r>
      <w:r>
        <w:t xml:space="preserve"> </w:t>
      </w:r>
      <w:r>
        <w:t xml:space="preserve">Knowledge of banking products, services, and financial instruments.</w:t>
      </w:r>
    </w:p>
    <w:p>
      <w:pPr>
        <w:numPr>
          <w:ilvl w:val="0"/>
          <w:numId w:val="1001"/>
        </w:numPr>
        <w:pStyle w:val="Compact"/>
      </w:pPr>
      <w:r>
        <w:rPr>
          <w:bCs/>
          <w:b/>
        </w:rPr>
        <w:t xml:space="preserve">Client Relationship Management:</w:t>
      </w:r>
      <w:r>
        <w:t xml:space="preserve"> </w:t>
      </w:r>
      <w:r>
        <w:t xml:space="preserve">Ability to build and maintain strong relationships with clients.</w:t>
      </w:r>
    </w:p>
    <w:p>
      <w:pPr>
        <w:numPr>
          <w:ilvl w:val="0"/>
          <w:numId w:val="1001"/>
        </w:numPr>
        <w:pStyle w:val="Compact"/>
      </w:pPr>
      <w:r>
        <w:rPr>
          <w:bCs/>
          <w:b/>
        </w:rPr>
        <w:t xml:space="preserve">Regulatory Compliance:</w:t>
      </w:r>
      <w:r>
        <w:t xml:space="preserve"> </w:t>
      </w:r>
      <w:r>
        <w:t xml:space="preserve">Adherence to SAMA guidelines and internal policies.</w:t>
      </w:r>
    </w:p>
    <w:p>
      <w:pPr>
        <w:numPr>
          <w:ilvl w:val="0"/>
          <w:numId w:val="1001"/>
        </w:numPr>
        <w:pStyle w:val="Compact"/>
      </w:pPr>
      <w:r>
        <w:rPr>
          <w:bCs/>
          <w:b/>
        </w:rPr>
        <w:t xml:space="preserve">Teamwork and Collaboration:</w:t>
      </w:r>
      <w:r>
        <w:t xml:space="preserve"> </w:t>
      </w:r>
      <w:r>
        <w:t xml:space="preserve">Contribution to team goals and collaboration with colleagues.</w:t>
      </w:r>
    </w:p>
    <w:p>
      <w:pPr>
        <w:numPr>
          <w:ilvl w:val="0"/>
          <w:numId w:val="1001"/>
        </w:numPr>
        <w:pStyle w:val="Compact"/>
      </w:pPr>
      <w:r>
        <w:rPr>
          <w:bCs/>
          <w:b/>
        </w:rPr>
        <w:t xml:space="preserve">Innovation and Adaptability:</w:t>
      </w:r>
      <w:r>
        <w:t xml:space="preserve"> </w:t>
      </w:r>
      <w:r>
        <w:t xml:space="preserve">Willingness to embrace new technologies and adapt to changing market conditions.</w:t>
      </w:r>
    </w:p>
    <w:bookmarkEnd w:id="23"/>
    <w:bookmarkStart w:id="29" w:name="detailed-assessment"/>
    <w:p>
      <w:pPr>
        <w:pStyle w:val="Heading2"/>
      </w:pPr>
      <w:r>
        <w:t xml:space="preserve">4. Detailed Assessment</w:t>
      </w:r>
    </w:p>
    <w:bookmarkStart w:id="24" w:name="technical-expertise"/>
    <w:p>
      <w:pPr>
        <w:pStyle w:val="Heading3"/>
      </w:pPr>
      <w:r>
        <w:t xml:space="preserve">4.1 Technical Expertise</w:t>
      </w:r>
    </w:p>
    <w:p>
      <w:pPr>
        <w:pStyle w:val="FirstParagraph"/>
      </w:pPr>
      <w:r>
        <w:t xml:space="preserve">The Banker demonstrates a solid understanding of banking products and services, including loans, deposits, wealth management, and trade finance. Their ability to explain complex financial concepts in simple terms has been particularly appreciated by clients. However, there is room for improvement in staying updated with the latest developments in fintech and digital banking solutions, which are increasingly important in Riyadh’s competitive landscape.</w:t>
      </w:r>
    </w:p>
    <w:bookmarkEnd w:id="24"/>
    <w:bookmarkStart w:id="25" w:name="client-relationship-management"/>
    <w:p>
      <w:pPr>
        <w:pStyle w:val="Heading3"/>
      </w:pPr>
      <w:r>
        <w:t xml:space="preserve">4.2 Client Relationship Management</w:t>
      </w:r>
    </w:p>
    <w:p>
      <w:pPr>
        <w:pStyle w:val="FirstParagraph"/>
      </w:pPr>
      <w:r>
        <w:t xml:space="preserve">The Banker excels in building trust and rapport with clients. They consistently go above and beyond to meet client needs, ensuring high levels of satisfaction. Feedback from clients indicates that the Banker is responsive, empathetic, and solution-oriented. Nevertheless, there is an opportunity to leverage data analytics tools to better anticipate client needs and offer personalized financial advice.</w:t>
      </w:r>
    </w:p>
    <w:bookmarkEnd w:id="25"/>
    <w:bookmarkStart w:id="26" w:name="regulatory-compliance"/>
    <w:p>
      <w:pPr>
        <w:pStyle w:val="Heading3"/>
      </w:pPr>
      <w:r>
        <w:t xml:space="preserve">4.3 Regulatory Compliance</w:t>
      </w:r>
    </w:p>
    <w:p>
      <w:pPr>
        <w:pStyle w:val="FirstParagraph"/>
      </w:pPr>
      <w:r>
        <w:t xml:space="preserve">Compliance with SAMA regulations is a critical aspect of banking operations in Saudi Arabia. The Banker has shown a strong commitment to adhering to regulatory requirements, including anti-money laundering (AML) and know-your-customer (KYC) protocols. However, occasional delays in completing compliance-related documentation have been noted, which could pose risks if not addressed promptly.</w:t>
      </w:r>
    </w:p>
    <w:bookmarkEnd w:id="26"/>
    <w:bookmarkStart w:id="27" w:name="teamwork-and-collaboration"/>
    <w:p>
      <w:pPr>
        <w:pStyle w:val="Heading3"/>
      </w:pPr>
      <w:r>
        <w:t xml:space="preserve">4.4 Teamwork and Collaboration</w:t>
      </w:r>
    </w:p>
    <w:p>
      <w:pPr>
        <w:pStyle w:val="FirstParagraph"/>
      </w:pPr>
      <w:r>
        <w:t xml:space="preserve">The Banker is a valued member of the team, contributing positively to group discussions and collaborative projects. They are approachable and willing to share knowledge with colleagues. However, there is scope for improvement in taking on leadership roles during team initiatives, which would further enhance their professional growth.</w:t>
      </w:r>
    </w:p>
    <w:bookmarkEnd w:id="27"/>
    <w:bookmarkStart w:id="28" w:name="innovation-and-adaptability"/>
    <w:p>
      <w:pPr>
        <w:pStyle w:val="Heading3"/>
      </w:pPr>
      <w:r>
        <w:t xml:space="preserve">4.5 Innovation and Adaptability</w:t>
      </w:r>
    </w:p>
    <w:p>
      <w:pPr>
        <w:pStyle w:val="FirstParagraph"/>
      </w:pPr>
      <w:r>
        <w:t xml:space="preserve">Innovation is a key driver of success in Riyadh’s banking sector. While the Banker has shown some willingness to adopt new technologies, such as mobile banking platforms and AI-driven tools, they could benefit from actively participating in training programs and workshops focused on emerging trends. This would enable them to stay ahead of the curve and contribute more effectively to the organization’s digital transformation efforts.</w:t>
      </w:r>
    </w:p>
    <w:bookmarkEnd w:id="28"/>
    <w:bookmarkEnd w:id="29"/>
    <w:bookmarkStart w:id="30" w:name="strengths"/>
    <w:p>
      <w:pPr>
        <w:pStyle w:val="Heading2"/>
      </w:pPr>
      <w:r>
        <w:t xml:space="preserve">5. Strengths</w:t>
      </w:r>
    </w:p>
    <w:p>
      <w:pPr>
        <w:numPr>
          <w:ilvl w:val="0"/>
          <w:numId w:val="1002"/>
        </w:numPr>
        <w:pStyle w:val="Compact"/>
      </w:pPr>
      <w:r>
        <w:t xml:space="preserve">Strong technical knowledge of banking products and services.</w:t>
      </w:r>
    </w:p>
    <w:p>
      <w:pPr>
        <w:numPr>
          <w:ilvl w:val="0"/>
          <w:numId w:val="1002"/>
        </w:numPr>
        <w:pStyle w:val="Compact"/>
      </w:pPr>
      <w:r>
        <w:t xml:space="preserve">Excellent client relationship management skills.</w:t>
      </w:r>
    </w:p>
    <w:p>
      <w:pPr>
        <w:numPr>
          <w:ilvl w:val="0"/>
          <w:numId w:val="1002"/>
        </w:numPr>
        <w:pStyle w:val="Compact"/>
      </w:pPr>
      <w:r>
        <w:t xml:space="preserve">High level of commitment to regulatory compliance.</w:t>
      </w:r>
    </w:p>
    <w:p>
      <w:pPr>
        <w:numPr>
          <w:ilvl w:val="0"/>
          <w:numId w:val="1002"/>
        </w:numPr>
        <w:pStyle w:val="Compact"/>
      </w:pPr>
      <w:r>
        <w:t xml:space="preserve">Positive attitude and strong teamwork abilities.</w:t>
      </w:r>
    </w:p>
    <w:bookmarkEnd w:id="30"/>
    <w:bookmarkStart w:id="31" w:name="areas-for-improvement"/>
    <w:p>
      <w:pPr>
        <w:pStyle w:val="Heading2"/>
      </w:pPr>
      <w:r>
        <w:t xml:space="preserve">6. Areas for Improvement</w:t>
      </w:r>
    </w:p>
    <w:p>
      <w:pPr>
        <w:numPr>
          <w:ilvl w:val="0"/>
          <w:numId w:val="1003"/>
        </w:numPr>
        <w:pStyle w:val="Compact"/>
      </w:pPr>
      <w:r>
        <w:t xml:space="preserve">Enhance familiarity with fintech innovations and digital banking solutions.</w:t>
      </w:r>
    </w:p>
    <w:p>
      <w:pPr>
        <w:numPr>
          <w:ilvl w:val="0"/>
          <w:numId w:val="1003"/>
        </w:numPr>
        <w:pStyle w:val="Compact"/>
      </w:pPr>
      <w:r>
        <w:t xml:space="preserve">Improve timeliness in completing compliance-related tasks.</w:t>
      </w:r>
    </w:p>
    <w:p>
      <w:pPr>
        <w:numPr>
          <w:ilvl w:val="0"/>
          <w:numId w:val="1003"/>
        </w:numPr>
        <w:pStyle w:val="Compact"/>
      </w:pPr>
      <w:r>
        <w:t xml:space="preserve">Take on more leadership roles within the team.</w:t>
      </w:r>
    </w:p>
    <w:p>
      <w:pPr>
        <w:numPr>
          <w:ilvl w:val="0"/>
          <w:numId w:val="1003"/>
        </w:numPr>
        <w:pStyle w:val="Compact"/>
      </w:pPr>
      <w:r>
        <w:t xml:space="preserve">Actively engage in continuous learning opportunities to stay updated with industry trends.</w:t>
      </w:r>
    </w:p>
    <w:bookmarkEnd w:id="31"/>
    <w:bookmarkStart w:id="32"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Enroll in specialized training programs on fintech and digital banking to enhance technical expertise.</w:t>
      </w:r>
    </w:p>
    <w:p>
      <w:pPr>
        <w:numPr>
          <w:ilvl w:val="0"/>
          <w:numId w:val="1004"/>
        </w:numPr>
        <w:pStyle w:val="Compact"/>
      </w:pPr>
      <w:r>
        <w:t xml:space="preserve">Implement time management strategies to ensure timely completion of compliance-related tasks.</w:t>
      </w:r>
    </w:p>
    <w:p>
      <w:pPr>
        <w:numPr>
          <w:ilvl w:val="0"/>
          <w:numId w:val="1004"/>
        </w:numPr>
        <w:pStyle w:val="Compact"/>
      </w:pPr>
      <w:r>
        <w:t xml:space="preserve">Seek opportunities to lead small-scale projects or initiatives within the team to develop leadership skills.</w:t>
      </w:r>
    </w:p>
    <w:p>
      <w:pPr>
        <w:numPr>
          <w:ilvl w:val="0"/>
          <w:numId w:val="1004"/>
        </w:numPr>
        <w:pStyle w:val="Compact"/>
      </w:pPr>
      <w:r>
        <w:t xml:space="preserve">Regularly attend industry conferences and webinars to stay informed about emerging trends in the banking sector.</w:t>
      </w:r>
    </w:p>
    <w:bookmarkEnd w:id="32"/>
    <w:bookmarkStart w:id="33" w:name="conclusion"/>
    <w:p>
      <w:pPr>
        <w:pStyle w:val="Heading2"/>
      </w:pPr>
      <w:r>
        <w:t xml:space="preserve">8. Conclusion</w:t>
      </w:r>
    </w:p>
    <w:p>
      <w:pPr>
        <w:pStyle w:val="FirstParagraph"/>
      </w:pPr>
      <w:r>
        <w:t xml:space="preserve">This Peer Review Report highlights the Banker’s strengths and areas for improvement, providing a comprehensive assessment of their performance in the context of Saudi Arabia’s dynamic banking environment, particularly in Riyadh. By addressing the identified areas for improvement and implementing the recommended actions, the Banker can further enhance their professional capabilities and contribute more effectively to the organization’s success. The review underscores the importance of continuous learning, adaptability, and collaboration in achieving excellence in the banking sector.</w:t>
      </w:r>
    </w:p>
    <w:bookmarkEnd w:id="33"/>
    <w:bookmarkStart w:id="34"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Peer Review Committee Member</w:t>
            </w:r>
          </w:p>
        </w:tc>
        <w:tc>
          <w:tcPr/>
          <w:p>
            <w:pPr>
              <w:pStyle w:val="Compact"/>
            </w:pPr>
          </w:p>
        </w:tc>
        <w:tc>
          <w:tcPr/>
          <w:p>
            <w:pPr>
              <w:pStyle w:val="Compact"/>
            </w:pPr>
          </w:p>
        </w:tc>
      </w:tr>
      <w:tr>
        <w:tc>
          <w:tcPr/>
          <w:p>
            <w:pPr>
              <w:pStyle w:val="Compact"/>
              <w:jc w:val="left"/>
            </w:pPr>
            <w:r>
              <w:t xml:space="preserve">[Banker Name]</w:t>
            </w:r>
          </w:p>
        </w:tc>
        <w:tc>
          <w:tcPr/>
          <w:p>
            <w:pPr>
              <w:pStyle w:val="Compact"/>
              <w:jc w:val="left"/>
            </w:pPr>
            <w:r>
              <w:t xml:space="preserve">Subject of Review</w:t>
            </w:r>
          </w:p>
        </w:tc>
        <w:tc>
          <w:tcPr/>
          <w:p>
            <w:pPr>
              <w:pStyle w:val="Compact"/>
            </w:pPr>
          </w:p>
        </w:tc>
        <w:tc>
          <w:tcPr/>
          <w:p>
            <w:pPr>
              <w:pStyle w:val="Compact"/>
            </w:pP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2026-10-10T04:15:00Z</dcterms:created>
  <dcterms:modified xsi:type="dcterms:W3CDTF">2026-10-10T04:15:00Z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