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Evaluation</w:t>
      </w:r>
      <w:r>
        <w:t xml:space="preserve"> </w:t>
      </w:r>
      <w:r>
        <w:t xml:space="preserve">-</w:t>
      </w:r>
      <w:r>
        <w:t xml:space="preserve"> </w:t>
      </w:r>
      <w:r>
        <w:t xml:space="preserve">Madrid,</w:t>
      </w:r>
      <w:r>
        <w:t xml:space="preserve"> </w:t>
      </w:r>
      <w:r>
        <w:t xml:space="preserve">Spain</w:t>
      </w:r>
    </w:p>
    <w:bookmarkStart w:id="30" w:name="X1c2154e39924814b7260d9ebffee9ebd11d0cbe"/>
    <w:p>
      <w:pPr>
        <w:pStyle w:val="Heading1"/>
      </w:pPr>
      <w:r>
        <w:t xml:space="preserve">Peer Review Report: Professional Competency Assessment</w:t>
      </w:r>
    </w:p>
    <w:p>
      <w:pPr>
        <w:pStyle w:val="FirstParagraph"/>
      </w:pPr>
      <w:r>
        <w:rPr>
          <w:bCs/>
          <w:b/>
        </w:rPr>
        <w:t xml:space="preserve">Subject Role:</w:t>
      </w:r>
      <w:r>
        <w:t xml:space="preserve"> </w:t>
      </w:r>
      <w:r>
        <w:t xml:space="preserve">Banker (Corporate &amp; Investment Banking)</w:t>
      </w:r>
      <w:r>
        <w:br/>
      </w:r>
      <w:r>
        <w:rPr>
          <w:bCs/>
          <w:b/>
        </w:rPr>
        <w:t xml:space="preserve">Location:</w:t>
      </w:r>
      <w:r>
        <w:t xml:space="preserve"> </w:t>
      </w:r>
      <w:r>
        <w:t xml:space="preserve">Madrid, Spain</w:t>
      </w:r>
      <w:r>
        <w:br/>
      </w:r>
      <w:r>
        <w:rPr>
          <w:bCs/>
          <w:b/>
        </w:rPr>
        <w:t xml:space="preserve">Date of Review:</w:t>
      </w:r>
      <w:r>
        <w:t xml:space="preserve"> </w:t>
      </w:r>
      <w:r>
        <w:t xml:space="preserve">October 24, 2023</w:t>
      </w:r>
    </w:p>
    <w:p>
      <w:pPr>
        <w:pStyle w:val="BodyText"/>
      </w:pPr>
      <w:r>
        <w:rPr>
          <w:bCs/>
          <w:b/>
        </w:rPr>
        <w:t xml:space="preserve">Review Type:</w:t>
      </w:r>
      <w:r>
        <w:t xml:space="preserve"> </w:t>
      </w:r>
      <w:r>
        <w:t xml:space="preserve">360-Degree Peer Evaluation</w:t>
      </w:r>
      <w:r>
        <w:br/>
      </w:r>
      <w:r>
        <w:rPr>
          <w:bCs/>
          <w:b/>
        </w:rPr>
        <w:t xml:space="preserve">Reporting Period:</w:t>
      </w:r>
      <w:r>
        <w:t xml:space="preserve"> </w:t>
      </w:r>
      <w:r>
        <w:t xml:space="preserve">Q3-Q4 2023</w:t>
      </w:r>
      <w:r>
        <w:br/>
      </w:r>
      <w:r>
        <w:rPr>
          <w:bCs/>
          <w:b/>
        </w:rPr>
        <w:t xml:space="preserve">Confidentiality Level:</w:t>
      </w:r>
      <w:r>
        <w:t xml:space="preserve"> </w:t>
      </w:r>
      <w:r>
        <w:t xml:space="preserve">Internal Use Only</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technical acumen, and interpersonal dynamics of the subject Banker operating within the Madrid financial district. As the financial hub of Spain, the Madrid market presents unique challenges characterized by a blend of traditional European banking conservatism and the rapid digital transformation mandated by the European Central Bank (ECB). This report assesses how effectively the Banker navigates these complexities, adheres to local regulatory frameworks, and contributes to the institution's strategic objectives in the Iberian Peninsula.</w:t>
      </w:r>
    </w:p>
    <w:p>
      <w:pPr>
        <w:pStyle w:val="BodyText"/>
      </w:pPr>
      <w:r>
        <w:t xml:space="preserve">The review is based on feedback from colleagues, cross-functional team members, and direct observations of client interactions within the Spanish market. The overarching goal is to identify strengths in financial analysis and client relationship management while highlighting areas for improvement regarding regulatory compliance and cross-cultural communication.</w:t>
      </w:r>
    </w:p>
    <w:bookmarkEnd w:id="20"/>
    <w:bookmarkStart w:id="23" w:name="X259e2fc8e98baa078ec91f62d243f323501c0eb"/>
    <w:p>
      <w:pPr>
        <w:pStyle w:val="Heading2"/>
      </w:pPr>
      <w:r>
        <w:t xml:space="preserve">2. Technical Competency and Market Knowledge</w:t>
      </w:r>
    </w:p>
    <w:bookmarkStart w:id="21" w:name="financial-analysis-and-advisory"/>
    <w:p>
      <w:pPr>
        <w:pStyle w:val="Heading3"/>
      </w:pPr>
      <w:r>
        <w:t xml:space="preserve">2.1 Financial Analysis and Advisory</w:t>
      </w:r>
    </w:p>
    <w:p>
      <w:pPr>
        <w:pStyle w:val="FirstParagraph"/>
      </w:pPr>
      <w:r>
        <w:t xml:space="preserve">The Banker demonstrates a robust understanding of financial modeling and valuation techniques. In the context of the Spanish economy, which is heavily influenced by the tourism, real estate, and renewable energy sectors, the subject has shown particular proficiency in structuring deals for mid-cap enterprises. Peer feedback indicates that the Banker’s due diligence processes are thorough, minimizing risk exposure for the firm.</w:t>
      </w:r>
    </w:p>
    <w:p>
      <w:pPr>
        <w:pStyle w:val="BodyText"/>
      </w:pPr>
      <w:r>
        <w:t xml:space="preserve">However, there is a noted opportunity to deepen expertise in the specific nuances of the Spanish tax code and corporate law. While general EU regulations are well understood, local fiscal incentives in Madrid and surrounding autonomous communities require more granular attention to ensure optimal structuring for clients.</w:t>
      </w:r>
    </w:p>
    <w:bookmarkEnd w:id="21"/>
    <w:bookmarkStart w:id="22" w:name="X3028d49b7bd7d962ad14651d0a4c85889d17e06"/>
    <w:p>
      <w:pPr>
        <w:pStyle w:val="Heading3"/>
      </w:pPr>
      <w:r>
        <w:t xml:space="preserve">2.2 Regulatory Compliance (CNMV and Banco de España)</w:t>
      </w:r>
    </w:p>
    <w:p>
      <w:pPr>
        <w:pStyle w:val="FirstParagraph"/>
      </w:pPr>
      <w:r>
        <w:t xml:space="preserve">Operating in Madrid requires strict adherence to the regulations set forth by the National Securities Market Commission (CNMV) and the Bank of Spain. The Banker has maintained a clean compliance record, which is commendable. Peers have observed a proactive approach to anti-money laundering (AML) checks and know-your-customer (KYC) protocols.</w:t>
      </w:r>
    </w:p>
    <w:p>
      <w:pPr>
        <w:pStyle w:val="BodyText"/>
      </w:pPr>
      <w:r>
        <w:t xml:space="preserve">Nevertheless, the pace of regulatory change in the Eurozone is accelerating. The Banker is encouraged to engage more actively in continuous professional development regarding the latest MiFID II updates and ESG (Environmental, Social, and Governance) reporting standards, which are becoming increasingly critical for banking operations in Spain.</w:t>
      </w:r>
    </w:p>
    <w:bookmarkEnd w:id="22"/>
    <w:bookmarkEnd w:id="23"/>
    <w:bookmarkStart w:id="26" w:name="client-relationship-management"/>
    <w:p>
      <w:pPr>
        <w:pStyle w:val="Heading2"/>
      </w:pPr>
      <w:r>
        <w:t xml:space="preserve">3. Client Relationship Management</w:t>
      </w:r>
    </w:p>
    <w:bookmarkStart w:id="24" w:name="cultural-intelligence-and-communication"/>
    <w:p>
      <w:pPr>
        <w:pStyle w:val="Heading3"/>
      </w:pPr>
      <w:r>
        <w:t xml:space="preserve">3.1 Cultural Intelligence and Communication</w:t>
      </w:r>
    </w:p>
    <w:p>
      <w:pPr>
        <w:pStyle w:val="FirstParagraph"/>
      </w:pPr>
      <w:r>
        <w:t xml:space="preserve">The Spanish business culture places a high premium on personal relationships and trust ("confianza"). The Banker has successfully cultivated strong rapport with key stakeholders in Madrid. Peers note that the subject excels in face-to-face meetings, demonstrating the necessary cultural sensitivity and respect for hierarchical structures common in Spanish corporate environments.</w:t>
      </w:r>
    </w:p>
    <w:p>
      <w:pPr>
        <w:pStyle w:val="BodyText"/>
      </w:pPr>
      <w:r>
        <w:t xml:space="preserve">A specific strength identified is the Banker’s ability to navigate the bilingual nature of the Madrid market. While English is the lingua franca of international finance, the ability to conduct negotiations and build rapport in Spanish is a significant asset. The subject’s proficiency in Spanish has been instrumental in closing deals with domestic family-owned businesses that prefer local language communication.</w:t>
      </w:r>
    </w:p>
    <w:bookmarkEnd w:id="24"/>
    <w:bookmarkStart w:id="25" w:name="responsiveness-and-service-quality"/>
    <w:p>
      <w:pPr>
        <w:pStyle w:val="Heading3"/>
      </w:pPr>
      <w:r>
        <w:t xml:space="preserve">3.2 Responsiveness and Service Quality</w:t>
      </w:r>
    </w:p>
    <w:p>
      <w:pPr>
        <w:pStyle w:val="FirstParagraph"/>
      </w:pPr>
      <w:r>
        <w:t xml:space="preserve">Feedback suggests that the Banker is highly responsive to client inquiries, often accommodating the flexible working hours typical of the Spanish market. However, some peers have noted that during peak transaction periods, communication with internal teams can become fragmented. Implementing more structured communication protocols would enhance service delivery consistency.</w:t>
      </w:r>
    </w:p>
    <w:bookmarkEnd w:id="25"/>
    <w:bookmarkEnd w:id="26"/>
    <w:bookmarkStart w:id="27" w:name="teamwork-and-collaboration"/>
    <w:p>
      <w:pPr>
        <w:pStyle w:val="Heading2"/>
      </w:pPr>
      <w:r>
        <w:t xml:space="preserve">4. Teamwork and Collaboration</w:t>
      </w:r>
    </w:p>
    <w:p>
      <w:pPr>
        <w:pStyle w:val="FirstParagraph"/>
      </w:pPr>
      <w:r>
        <w:t xml:space="preserve">Within the Madrid office, the Banker is viewed as a collaborative team player. The subject actively shares market intelligence regarding local economic trends with colleagues, fostering a knowledge-sharing environment. The Banker’s willingness to support junior analysts in understanding the local market dynamics is particularly appreciated.</w:t>
      </w:r>
    </w:p>
    <w:p>
      <w:pPr>
        <w:pStyle w:val="BodyText"/>
      </w:pPr>
      <w:r>
        <w:t xml:space="preserve">That said, there is room for improvement in cross-departmental collaboration. The Banker tends to operate somewhat independently from the risk management and legal teams until the final stages of a transaction. Earlier engagement with these departments would streamline the approval process and reduce bottlenecks, which is crucial in the fast-paced Madrid market.</w:t>
      </w:r>
    </w:p>
    <w:bookmarkEnd w:id="27"/>
    <w:bookmarkStart w:id="28" w:name="X5485177e83fa99b127d979682053d2e29a61e01"/>
    <w:p>
      <w:pPr>
        <w:pStyle w:val="Heading2"/>
      </w:pPr>
      <w:r>
        <w:t xml:space="preserve">5. Areas for Development and Recommendations</w:t>
      </w:r>
    </w:p>
    <w:p>
      <w:pPr>
        <w:numPr>
          <w:ilvl w:val="0"/>
          <w:numId w:val="1001"/>
        </w:numPr>
        <w:pStyle w:val="Compact"/>
      </w:pPr>
      <w:r>
        <w:rPr>
          <w:bCs/>
          <w:b/>
        </w:rPr>
        <w:t xml:space="preserve">Regulatory Deep Dive:</w:t>
      </w:r>
      <w:r>
        <w:t xml:space="preserve"> </w:t>
      </w:r>
      <w:r>
        <w:t xml:space="preserve">Enroll in specialized training courses focused on the latest CNMV regulations and Spanish corporate governance codes to ensure absolute compliance and advisory excellence.</w:t>
      </w:r>
    </w:p>
    <w:p>
      <w:pPr>
        <w:numPr>
          <w:ilvl w:val="0"/>
          <w:numId w:val="1001"/>
        </w:numPr>
        <w:pStyle w:val="Compact"/>
      </w:pPr>
      <w:r>
        <w:rPr>
          <w:bCs/>
          <w:b/>
        </w:rPr>
        <w:t xml:space="preserve">ESG Integration:</w:t>
      </w:r>
      <w:r>
        <w:t xml:space="preserve"> </w:t>
      </w:r>
      <w:r>
        <w:t xml:space="preserve">Given Spain’s aggressive climate goals, the Banker should enhance their ability to integrate ESG criteria into financial advice, positioning the firm as a leader in sustainable finance in Madrid.</w:t>
      </w:r>
    </w:p>
    <w:p>
      <w:pPr>
        <w:numPr>
          <w:ilvl w:val="0"/>
          <w:numId w:val="1001"/>
        </w:numPr>
        <w:pStyle w:val="Compact"/>
      </w:pPr>
      <w:r>
        <w:rPr>
          <w:bCs/>
          <w:b/>
        </w:rPr>
        <w:t xml:space="preserve">Internal Process Optimization:</w:t>
      </w:r>
      <w:r>
        <w:t xml:space="preserve"> </w:t>
      </w:r>
      <w:r>
        <w:t xml:space="preserve">Adopt project management tools to better coordinate with internal stakeholders, ensuring that all departments are aligned from the inception of a deal.</w:t>
      </w:r>
    </w:p>
    <w:p>
      <w:pPr>
        <w:numPr>
          <w:ilvl w:val="0"/>
          <w:numId w:val="1001"/>
        </w:numPr>
        <w:pStyle w:val="Compact"/>
      </w:pPr>
      <w:r>
        <w:rPr>
          <w:bCs/>
          <w:b/>
        </w:rPr>
        <w:t xml:space="preserve">Network Expansion:</w:t>
      </w:r>
      <w:r>
        <w:t xml:space="preserve"> </w:t>
      </w:r>
      <w:r>
        <w:t xml:space="preserve">Leverage local industry associations in Madrid to expand the client network beyond traditional sectors, exploring opportunities in the growing tech and startup ecosystem in the city.</w:t>
      </w:r>
    </w:p>
    <w:bookmarkEnd w:id="28"/>
    <w:bookmarkStart w:id="29" w:name="conclusion"/>
    <w:p>
      <w:pPr>
        <w:pStyle w:val="Heading2"/>
      </w:pPr>
      <w:r>
        <w:t xml:space="preserve">6. Conclusion</w:t>
      </w:r>
    </w:p>
    <w:p>
      <w:pPr>
        <w:pStyle w:val="FirstParagraph"/>
      </w:pPr>
      <w:r>
        <w:t xml:space="preserve">In conclusion, the Banker under review is a valuable asset to the Madrid office, demonstrating strong technical skills, cultural adaptability, and a commitment to professional integrity. The subject’s performance aligns well with the strategic goals of the institution in the Spanish market. By addressing the identified areas for development, particularly regarding regulatory nuances and internal collaboration, the Banker is well-positioned for continued growth and leadership within the organization. This Peer Review Report affirms the subject’s competence and potential to drive success in the dynamic financial landscape of Madrid, Spain.</w:t>
      </w:r>
    </w:p>
    <w:bookmarkEnd w:id="29"/>
    <w:p>
      <w:pPr>
        <w:pStyle w:val="BodyText"/>
      </w:pPr>
      <w:r>
        <w:rPr>
          <w:bCs/>
          <w:b/>
        </w:rPr>
        <w:t xml:space="preserve">Reviewed By:</w:t>
      </w:r>
      <w:r>
        <w:br/>
      </w:r>
      <w:r>
        <w:t xml:space="preserve">Senior Vice President</w:t>
      </w:r>
      <w:r>
        <w:br/>
      </w:r>
      <w:r>
        <w:t xml:space="preserve">Madrid Regional Office</w:t>
      </w:r>
      <w:r>
        <w:br/>
      </w:r>
      <w:r>
        <w:br/>
      </w:r>
      <w:r>
        <w:t xml:space="preserve">__________________________</w:t>
      </w:r>
      <w:r>
        <w:br/>
      </w:r>
      <w:r>
        <w:t xml:space="preserve">Signature</w:t>
      </w:r>
    </w:p>
    <w:p>
      <w:pPr>
        <w:pStyle w:val="BodyText"/>
      </w:pPr>
      <w:r>
        <w:rPr>
          <w:bCs/>
          <w:b/>
        </w:rPr>
        <w:t xml:space="preserve">Subject Acknowledgment:</w:t>
      </w:r>
      <w:r>
        <w:br/>
      </w:r>
      <w:r>
        <w:t xml:space="preserve">Banker</w:t>
      </w:r>
      <w:r>
        <w:br/>
      </w:r>
      <w:r>
        <w:br/>
      </w:r>
      <w:r>
        <w:t xml:space="preserve">__________________________</w:t>
      </w:r>
      <w:r>
        <w:br/>
      </w:r>
      <w:r>
        <w:t xml:space="preserve">Signature &amp; Date</w:t>
      </w:r>
    </w:p>
    <w:p>
      <w:pPr>
        <w:pStyle w:val="BodyText"/>
      </w:pPr>
      <w:r>
        <w:t xml:space="preserve">© 2023 Internal Human Resources Department. This document is confidential and intended solely for the use of the individual or entity to whom it is addressed.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Evaluation - Madrid, Spain</dc:title>
  <dc:creator/>
  <dc:language>en</dc:language>
  <cp:keywords/>
  <dcterms:created xsi:type="dcterms:W3CDTF">2026-10-10T01:59:37Z</dcterms:created>
  <dcterms:modified xsi:type="dcterms:W3CDTF">2026-10-10T01:59:37Z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