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Subject:</w:t>
      </w:r>
      <w:r>
        <w:t xml:space="preserve"> </w:t>
      </w:r>
      <w:r>
        <w:t xml:space="preserve">Professional Competency Assessment</w:t>
      </w:r>
    </w:p>
    <w:p>
      <w:pPr>
        <w:pStyle w:val="BodyText"/>
      </w:pPr>
      <w:r>
        <w:t xml:space="preserve">Role:</w:t>
      </w:r>
      <w:r>
        <w:t xml:space="preserve"> </w:t>
      </w:r>
      <w:r>
        <w:t xml:space="preserve">Senior Banker</w:t>
      </w:r>
    </w:p>
    <w:p>
      <w:pPr>
        <w:pStyle w:val="BodyText"/>
      </w:pPr>
      <w:r>
        <w:t xml:space="preserve">Location:</w:t>
      </w:r>
      <w:r>
        <w:t xml:space="preserve"> </w:t>
      </w:r>
      <w:r>
        <w:t xml:space="preserve">Turkey Ankara Branch</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interpersonal dynamics of the designated Banker operating within the Turkey Ankara metropolitan branch. As Ankara functions as the political and administrative heart of the nation, the banking sector here requires a unique blend of regulatory precision, high-level corporate relationship management, and cultural sensitivity. This document outlines the findings derived from collaborative observations, transaction audits, and peer feedback mechanisms conducted over the last quarter.</w:t>
      </w:r>
    </w:p>
    <w:p>
      <w:pPr>
        <w:pStyle w:val="BodyText"/>
      </w:pPr>
      <w:r>
        <w:t xml:space="preserve">The primary objective of this review is to assess the Banker's alignment with the institution's strategic goals in the Turkish market, specifically focusing on compliance with the Central Bank of the Republic of Turkey (CBRT) regulations, client acquisition strategies, and operational efficiency within the Ankara branch ecosystem.</w:t>
      </w:r>
    </w:p>
    <w:bookmarkEnd w:id="21"/>
    <w:bookmarkStart w:id="22" w:name="X101ecc4296dd6393e0a669a519e77b87c8106e0"/>
    <w:p>
      <w:pPr>
        <w:pStyle w:val="Heading2"/>
      </w:pPr>
      <w:r>
        <w:t xml:space="preserve">2. Regulatory Compliance and Risk Management</w:t>
      </w:r>
    </w:p>
    <w:p>
      <w:pPr>
        <w:pStyle w:val="FirstParagraph"/>
      </w:pPr>
      <w:r>
        <w:t xml:space="preserve">Operating in Turkey Ankara demands an acute awareness of the local regulatory landscape. The Banker has demonstrated a robust understanding of the Anti-Money Laundering (AML) and Counter-Terrorist Financing (CTF) frameworks mandated by the Financial Crimes Investigation Board (MASAK). During the review period, the Banker successfully navigated complex transaction verifications without significant compliance breaches.</w:t>
      </w:r>
    </w:p>
    <w:p>
      <w:pPr>
        <w:pStyle w:val="BodyText"/>
      </w:pPr>
      <w:r>
        <w:t xml:space="preserve">However, peers noted that while the adherence to rules is strict, the communication of these regulatory constraints to clients could be more nuanced. In the Ankara market, where many clients are government contractors or civil servants, explaining liquidity restrictions or reporting requirements requires a delicate touch. The Banker is advised to refine their communication strategy to ensure clients feel supported rather than obstructed by necessary compliance protocols.</w:t>
      </w:r>
    </w:p>
    <w:bookmarkEnd w:id="22"/>
    <w:bookmarkStart w:id="23" w:name="client-relationship-management"/>
    <w:p>
      <w:pPr>
        <w:pStyle w:val="Heading2"/>
      </w:pPr>
      <w:r>
        <w:t xml:space="preserve">3. Client Relationship Management</w:t>
      </w:r>
    </w:p>
    <w:p>
      <w:pPr>
        <w:pStyle w:val="FirstParagraph"/>
      </w:pPr>
      <w:r>
        <w:t xml:space="preserve">The Ankara banking environment is characterized by a high volume of institutional clients and a growing SME sector. The Banker has shown commendable initiative in expanding the client portfolio, particularly within the technology and defense sectors prevalent in the region. Peer observations indicate that the Banker maintains a professional demeanor and exhibits strong active listening skills during client consultations.</w:t>
      </w:r>
    </w:p>
    <w:p>
      <w:pPr>
        <w:pStyle w:val="BodyText"/>
      </w:pPr>
      <w:r>
        <w:t xml:space="preserve">A key strength identified is the Banker's ability to tailor financial products to the specific needs of Ankara-based entities. Whether structuring loans for public sector projects or managing currency exchange for import/export businesses, the Banker demonstrates technical proficiency. Nevertheless, there is room for improvement in cross-selling digital banking solutions. Peers suggest that the Banker should leverage the branch's digital transformation initiatives more aggressively to enhance client retention and operational efficiency.</w:t>
      </w:r>
    </w:p>
    <w:bookmarkEnd w:id="23"/>
    <w:bookmarkStart w:id="24" w:name="X8fa2ccfd8f899022f1de73d5d2ca7f1bb59c0fb"/>
    <w:p>
      <w:pPr>
        <w:pStyle w:val="Heading2"/>
      </w:pPr>
      <w:r>
        <w:t xml:space="preserve">4. Technical Proficiency and Operational Efficiency</w:t>
      </w:r>
    </w:p>
    <w:p>
      <w:pPr>
        <w:pStyle w:val="FirstParagraph"/>
      </w:pPr>
      <w:r>
        <w:t xml:space="preserve">From a technical standpoint, the Banker exhibits a solid command of the core banking systems and financial analysis tools utilized by the institution. The accuracy of loan underwriting and credit risk assessment has been consistently high, contributing to a healthy non-performing loan (NPL) ratio for the branch.</w:t>
      </w:r>
    </w:p>
    <w:p>
      <w:pPr>
        <w:pStyle w:val="BodyText"/>
      </w:pPr>
      <w:r>
        <w:t xml:space="preserve">In the context of Turkey's economic volatility, the Banker has shown adaptability in managing currency risk and interest rate fluctuations. Peers have praised the Banker's ability to provide timely and accurate financial advice to clients navigating inflationary pressures. However, the report notes occasional delays in documentation processing during peak hours. Streamlining internal workflows and better coordinating with the back-office team in Ankara are recommended to mitigate these bottlenecks.</w:t>
      </w:r>
    </w:p>
    <w:bookmarkEnd w:id="24"/>
    <w:bookmarkStart w:id="25" w:name="team-collaboration-and-leadership"/>
    <w:p>
      <w:pPr>
        <w:pStyle w:val="Heading2"/>
      </w:pPr>
      <w:r>
        <w:t xml:space="preserve">5. Team Collaboration and Leadership</w:t>
      </w:r>
    </w:p>
    <w:p>
      <w:pPr>
        <w:pStyle w:val="FirstParagraph"/>
      </w:pPr>
      <w:r>
        <w:t xml:space="preserve">As a member of the Ankara branch team, the Banker is viewed as a reliable colleague who contributes positively to the workplace culture. The Banker actively participates in team meetings and shares market insights regarding local economic trends. Peers appreciate the Banker's willingness to assist junior staff members with complex queries, fostering a collaborative learning environment.</w:t>
      </w:r>
    </w:p>
    <w:p>
      <w:pPr>
        <w:pStyle w:val="BodyText"/>
      </w:pPr>
      <w:r>
        <w:t xml:space="preserve">Leadership potential is evident, particularly in crisis management scenarios. During periods of high market uncertainty, the Banker has remained composed and helped stabilize team morale. To further develop leadership capabilities, the Banker is encouraged to take on more mentorship roles and lead small-scale projects aimed at improving branch processes.</w:t>
      </w:r>
    </w:p>
    <w:bookmarkEnd w:id="25"/>
    <w:bookmarkStart w:id="26" w:name="performance-ratings"/>
    <w:p>
      <w:pPr>
        <w:pStyle w:val="Heading2"/>
      </w:pPr>
      <w:r>
        <w:t xml:space="preserve">6. Performance Ratings</w:t>
      </w:r>
    </w:p>
    <w:p>
      <w:pPr>
        <w:pStyle w:val="FirstParagraph"/>
      </w:pPr>
      <w:r>
        <w:t xml:space="preserve">Regulatory Compliance &amp; Risk Awareness</w:t>
      </w:r>
      <w:r>
        <w:t xml:space="preserve"> </w:t>
      </w:r>
      <w:r>
        <w:t xml:space="preserve">4.5 / 5.0</w:t>
      </w:r>
    </w:p>
    <w:p>
      <w:pPr>
        <w:pStyle w:val="BodyText"/>
      </w:pPr>
      <w:r>
        <w:t xml:space="preserve">Client Relationship Management</w:t>
      </w:r>
      <w:r>
        <w:t xml:space="preserve"> </w:t>
      </w:r>
      <w:r>
        <w:t xml:space="preserve">4.2 / 5.0</w:t>
      </w:r>
    </w:p>
    <w:p>
      <w:pPr>
        <w:pStyle w:val="BodyText"/>
      </w:pPr>
      <w:r>
        <w:t xml:space="preserve">Technical &amp; Financial Acumen</w:t>
      </w:r>
      <w:r>
        <w:t xml:space="preserve"> </w:t>
      </w:r>
      <w:r>
        <w:t xml:space="preserve">4.7 / 5.0</w:t>
      </w:r>
    </w:p>
    <w:p>
      <w:pPr>
        <w:pStyle w:val="BodyText"/>
      </w:pPr>
      <w:r>
        <w:t xml:space="preserve">Communication &amp; Interpersonal Skills</w:t>
      </w:r>
      <w:r>
        <w:t xml:space="preserve"> </w:t>
      </w:r>
      <w:r>
        <w:t xml:space="preserve">4.0 / 5.0</w:t>
      </w:r>
    </w:p>
    <w:p>
      <w:pPr>
        <w:pStyle w:val="BodyText"/>
      </w:pPr>
      <w:r>
        <w:t xml:space="preserve">Team Collaboration &amp; Leadership</w:t>
      </w:r>
      <w:r>
        <w:t xml:space="preserve"> </w:t>
      </w:r>
      <w:r>
        <w:t xml:space="preserve">4.3 / 5.0</w:t>
      </w:r>
    </w:p>
    <w:p>
      <w:pPr>
        <w:pStyle w:val="BodyText"/>
      </w:pPr>
      <w:r>
        <w:rPr>
          <w:bCs/>
          <w:b/>
        </w:rPr>
        <w:t xml:space="preserve">Overall Peer Assessment Score</w:t>
      </w:r>
      <w:r>
        <w:t xml:space="preserve"> </w:t>
      </w:r>
      <w:r>
        <w:rPr>
          <w:bCs/>
          <w:b/>
        </w:rPr>
        <w:t xml:space="preserve">4.34 / 5.0</w:t>
      </w:r>
    </w:p>
    <w:bookmarkEnd w:id="26"/>
    <w:bookmarkStart w:id="27" w:name="recommendations-and-conclusion"/>
    <w:p>
      <w:pPr>
        <w:pStyle w:val="Heading2"/>
      </w:pPr>
      <w:r>
        <w:t xml:space="preserve">7. Recommendations and Conclusion</w:t>
      </w:r>
    </w:p>
    <w:p>
      <w:pPr>
        <w:pStyle w:val="FirstParagraph"/>
      </w:pPr>
      <w:r>
        <w:t xml:space="preserve">In conclusion, this Peer Review Report affirms that the Banker is a high-performing asset to the Turkey Ankara branch. Their technical expertise, combined with a strong ethical foundation, aligns well with the institution's values. The Banker has successfully navigated the complexities of the local market, maintaining strong client relationships while adhering to stringent regulatory requirements.</w:t>
      </w:r>
    </w:p>
    <w:p>
      <w:pPr>
        <w:pStyle w:val="BodyText"/>
      </w:pPr>
      <w:r>
        <w:t xml:space="preserve">To achieve the next level of professional growth, the following actions are recommended:</w:t>
      </w:r>
    </w:p>
    <w:p>
      <w:pPr>
        <w:numPr>
          <w:ilvl w:val="0"/>
          <w:numId w:val="1001"/>
        </w:numPr>
        <w:pStyle w:val="Compact"/>
      </w:pPr>
      <w:r>
        <w:rPr>
          <w:bCs/>
          <w:b/>
        </w:rPr>
        <w:t xml:space="preserve">Enhance Digital Advocacy:</w:t>
      </w:r>
      <w:r>
        <w:t xml:space="preserve"> </w:t>
      </w:r>
      <w:r>
        <w:t xml:space="preserve">Actively promote digital banking tools to clients to modernize service delivery.</w:t>
      </w:r>
    </w:p>
    <w:p>
      <w:pPr>
        <w:numPr>
          <w:ilvl w:val="0"/>
          <w:numId w:val="1001"/>
        </w:numPr>
        <w:pStyle w:val="Compact"/>
      </w:pPr>
      <w:r>
        <w:rPr>
          <w:bCs/>
          <w:b/>
        </w:rPr>
        <w:t xml:space="preserve">Refine Communication:</w:t>
      </w:r>
      <w:r>
        <w:t xml:space="preserve"> </w:t>
      </w:r>
      <w:r>
        <w:t xml:space="preserve">Develop softer communication techniques for explaining regulatory constraints to sensitive client segments.</w:t>
      </w:r>
    </w:p>
    <w:p>
      <w:pPr>
        <w:numPr>
          <w:ilvl w:val="0"/>
          <w:numId w:val="1001"/>
        </w:numPr>
        <w:pStyle w:val="Compact"/>
      </w:pPr>
      <w:r>
        <w:rPr>
          <w:bCs/>
          <w:b/>
        </w:rPr>
        <w:t xml:space="preserve">Process Optimization:</w:t>
      </w:r>
      <w:r>
        <w:t xml:space="preserve"> </w:t>
      </w:r>
      <w:r>
        <w:t xml:space="preserve">Lead an initiative to reduce documentation turnaround times during peak operational periods.</w:t>
      </w:r>
    </w:p>
    <w:p>
      <w:pPr>
        <w:numPr>
          <w:ilvl w:val="0"/>
          <w:numId w:val="1001"/>
        </w:numPr>
        <w:pStyle w:val="Compact"/>
      </w:pPr>
      <w:r>
        <w:rPr>
          <w:bCs/>
          <w:b/>
        </w:rPr>
        <w:t xml:space="preserve">Leadership Development:</w:t>
      </w:r>
      <w:r>
        <w:t xml:space="preserve"> </w:t>
      </w:r>
      <w:r>
        <w:t xml:space="preserve">Pursue formal leadership training to prepare for potential managerial roles within the Ankara region.</w:t>
      </w:r>
    </w:p>
    <w:p>
      <w:pPr>
        <w:pStyle w:val="FirstParagraph"/>
      </w:pPr>
      <w:r>
        <w:t xml:space="preserve">This report is intended to provide constructive feedback and guide the Banker's professional development journey within the dynamic banking landscape of Turkey Ankara.</w:t>
      </w:r>
    </w:p>
    <w:bookmarkEnd w:id="27"/>
    <w:p>
      <w:pPr>
        <w:pStyle w:val="BodyText"/>
      </w:pPr>
      <w:r>
        <w:rPr>
          <w:bCs/>
          <w:b/>
        </w:rPr>
        <w:t xml:space="preserve">Reviewed By:</w:t>
      </w:r>
      <w:r>
        <w:br/>
      </w:r>
      <w:r>
        <w:t xml:space="preserve">Senior Peer Reviewer</w:t>
      </w:r>
      <w:r>
        <w:br/>
      </w:r>
      <w:r>
        <w:t xml:space="preserve">Ankara Branch Operations</w:t>
      </w:r>
    </w:p>
    <w:p>
      <w:pPr>
        <w:pStyle w:val="BodyText"/>
      </w:pPr>
      <w:r>
        <w:rPr>
          <w:bCs/>
          <w:b/>
        </w:rPr>
        <w:t xml:space="preserve">Subject Acknowledgment:</w:t>
      </w:r>
      <w:r>
        <w:br/>
      </w:r>
      <w:r>
        <w:t xml:space="preserve">Banker Name</w:t>
      </w:r>
      <w:r>
        <w:br/>
      </w:r>
      <w:r>
        <w:t xml:space="preserve">Date: _______________</w:t>
      </w:r>
    </w:p>
    <w:p>
      <w:pPr>
        <w:pStyle w:val="BodyText"/>
      </w:pPr>
      <w:r>
        <w:t xml:space="preserve">© 2023 Internal Banking Review Committee.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2026-10-10T04:45:27Z</dcterms:created>
  <dcterms:modified xsi:type="dcterms:W3CDTF">2026-10-10T04:45:27Z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