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ethical conduct, and operational efficiency of a Banker operating within the financial sector of Abu Dhabi, United Arab Emirates. The purpose of this review is to provide constructive feedback, identify areas of strength, and highlight opportunities for improvement in alignment with the regulatory standards set by the Central Bank of the UAE and local banking practices.</w:t>
      </w:r>
    </w:p>
    <w:p>
      <w:pPr>
        <w:pStyle w:val="BodyText"/>
      </w:pPr>
      <w:r>
        <w:t xml:space="preserve">The evaluation focuses on key competencies such as client relationship management, risk assessment, compliance adherence, teamwork, and innovation in service delivery. It also considers the unique cultural and economic context of Abu Dhabi, where trust, integrity, and professionalism are paramount in the banking industry.</w:t>
      </w:r>
    </w:p>
    <w:bookmarkEnd w:id="21"/>
    <w:bookmarkStart w:id="22" w:name="overview-of-the-bankers-role"/>
    <w:p>
      <w:pPr>
        <w:pStyle w:val="Heading2"/>
      </w:pPr>
      <w:r>
        <w:t xml:space="preserve">2. Overview of the Banker’s Role</w:t>
      </w:r>
    </w:p>
    <w:p>
      <w:pPr>
        <w:pStyle w:val="FirstParagraph"/>
      </w:pPr>
      <w:r>
        <w:t xml:space="preserve">The Banker under review holds a mid-level position within a prominent commercial bank in Abu Dhabi. Their responsibilities include managing corporate and retail banking accounts, advising clients on financial products, ensuring compliance with anti-money laundering (AML) regulations, and contributing to the bank’s strategic growth objectives. As a key representative of the institution, the Banker plays a critical role in maintaining the bank’s reputation and fostering long-term relationships with clients.</w:t>
      </w:r>
    </w:p>
    <w:bookmarkEnd w:id="22"/>
    <w:bookmarkStart w:id="26" w:name="strengths-identified"/>
    <w:p>
      <w:pPr>
        <w:pStyle w:val="Heading2"/>
      </w:pPr>
      <w:r>
        <w:t xml:space="preserve">3. Strengths Identified</w:t>
      </w:r>
    </w:p>
    <w:bookmarkStart w:id="23" w:name="client-relationship-management"/>
    <w:p>
      <w:pPr>
        <w:pStyle w:val="Heading3"/>
      </w:pPr>
      <w:r>
        <w:t xml:space="preserve">3.1 Client Relationship Management</w:t>
      </w:r>
    </w:p>
    <w:p>
      <w:pPr>
        <w:pStyle w:val="FirstParagraph"/>
      </w:pPr>
      <w:r>
        <w:t xml:space="preserve">The Banker demonstrates exceptional skills in building and maintaining strong relationships with clients. They exhibit a deep understanding of client needs and consistently provide tailored financial solutions that align with both individual and organizational goals. Their ability to communicate effectively in both English and Arabic enhances their accessibility and rapport with a diverse clientele in Abu Dhabi.</w:t>
      </w:r>
    </w:p>
    <w:bookmarkEnd w:id="23"/>
    <w:bookmarkStart w:id="24" w:name="regulatory-compliance"/>
    <w:p>
      <w:pPr>
        <w:pStyle w:val="Heading3"/>
      </w:pPr>
      <w:r>
        <w:t xml:space="preserve">3.2 Regulatory Compliance</w:t>
      </w:r>
    </w:p>
    <w:p>
      <w:pPr>
        <w:pStyle w:val="FirstParagraph"/>
      </w:pPr>
      <w:r>
        <w:t xml:space="preserve">A notable strength is the Banker’s strict adherence to regulatory requirements, including those mandated by the Central Bank of the UAE and international standards such as Basel III. They have shown diligence in implementing AML protocols and ensuring accurate reporting, thereby minimizing risks associated with non-compliance.</w:t>
      </w:r>
    </w:p>
    <w:bookmarkEnd w:id="24"/>
    <w:bookmarkStart w:id="25" w:name="team-collaboration"/>
    <w:p>
      <w:pPr>
        <w:pStyle w:val="Heading3"/>
      </w:pPr>
      <w:r>
        <w:t xml:space="preserve">3.3 Team Collaboration</w:t>
      </w:r>
    </w:p>
    <w:p>
      <w:pPr>
        <w:pStyle w:val="FirstParagraph"/>
      </w:pPr>
      <w:r>
        <w:t xml:space="preserve">The Banker actively contributes to team initiatives and fosters a collaborative work environment. They are approachable, supportive, and willing to share knowledge with colleagues, which strengthens overall team performance and morale.</w:t>
      </w:r>
    </w:p>
    <w:bookmarkEnd w:id="25"/>
    <w:bookmarkEnd w:id="26"/>
    <w:bookmarkStart w:id="30" w:name="areas-for-improvement"/>
    <w:p>
      <w:pPr>
        <w:pStyle w:val="Heading2"/>
      </w:pPr>
      <w:r>
        <w:t xml:space="preserve">4. Areas for Improvement</w:t>
      </w:r>
    </w:p>
    <w:bookmarkStart w:id="27" w:name="risk-assessment-and-mitigation"/>
    <w:p>
      <w:pPr>
        <w:pStyle w:val="Heading3"/>
      </w:pPr>
      <w:r>
        <w:t xml:space="preserve">4.1 Risk Assessment and Mitigation</w:t>
      </w:r>
    </w:p>
    <w:p>
      <w:pPr>
        <w:pStyle w:val="FirstParagraph"/>
      </w:pPr>
      <w:r>
        <w:t xml:space="preserve">While the Banker performs well in most areas, there is room for improvement in their approach to risk assessment. At times, they have exhibited a tendency to prioritize client satisfaction over thorough risk evaluation, which could potentially expose the bank to unnecessary liabilities. Enhancing their analytical skills and adopting a more balanced perspective would be beneficial.</w:t>
      </w:r>
    </w:p>
    <w:bookmarkEnd w:id="27"/>
    <w:bookmarkStart w:id="28" w:name="innovation-in-service-delivery"/>
    <w:p>
      <w:pPr>
        <w:pStyle w:val="Heading3"/>
      </w:pPr>
      <w:r>
        <w:t xml:space="preserve">4.2 Innovation in Service Delivery</w:t>
      </w:r>
    </w:p>
    <w:p>
      <w:pPr>
        <w:pStyle w:val="FirstParagraph"/>
      </w:pPr>
      <w:r>
        <w:t xml:space="preserve">In an increasingly digital banking landscape, the Banker could benefit from exploring innovative ways to enhance service delivery. For instance, leveraging fintech tools or digital platforms to streamline processes and improve customer experience would align with the evolving expectations of clients in Abu Dhabi.</w:t>
      </w:r>
    </w:p>
    <w:bookmarkEnd w:id="28"/>
    <w:bookmarkStart w:id="29" w:name="time-management"/>
    <w:p>
      <w:pPr>
        <w:pStyle w:val="Heading3"/>
      </w:pPr>
      <w:r>
        <w:t xml:space="preserve">4.3 Time Management</w:t>
      </w:r>
    </w:p>
    <w:p>
      <w:pPr>
        <w:pStyle w:val="FirstParagraph"/>
      </w:pPr>
      <w:r>
        <w:t xml:space="preserve">Occasionally, the Banker has struggled with managing competing priorities, leading to delays in completing certain tasks. Developing stronger time management strategies would help them maintain productivity and meet deadlines more consistently.</w:t>
      </w:r>
    </w:p>
    <w:bookmarkEnd w:id="29"/>
    <w:bookmarkEnd w:id="30"/>
    <w:bookmarkStart w:id="31" w:name="recommendations"/>
    <w:p>
      <w:pPr>
        <w:pStyle w:val="Heading2"/>
      </w:pPr>
      <w:r>
        <w:t xml:space="preserve">5. Recommendations</w:t>
      </w:r>
    </w:p>
    <w:p>
      <w:pPr>
        <w:numPr>
          <w:ilvl w:val="0"/>
          <w:numId w:val="1001"/>
        </w:numPr>
        <w:pStyle w:val="Compact"/>
      </w:pPr>
      <w:r>
        <w:rPr>
          <w:bCs/>
          <w:b/>
        </w:rPr>
        <w:t xml:space="preserve">Training Programs:</w:t>
      </w:r>
      <w:r>
        <w:t xml:space="preserve"> </w:t>
      </w:r>
      <w:r>
        <w:t xml:space="preserve">Enroll in advanced training courses focused on risk management and fintech innovations to enhance technical expertise.</w:t>
      </w:r>
    </w:p>
    <w:p>
      <w:pPr>
        <w:numPr>
          <w:ilvl w:val="0"/>
          <w:numId w:val="1001"/>
        </w:numPr>
        <w:pStyle w:val="Compact"/>
      </w:pPr>
      <w:r>
        <w:rPr>
          <w:bCs/>
          <w:b/>
        </w:rPr>
        <w:t xml:space="preserve">Mentorship:</w:t>
      </w:r>
      <w:r>
        <w:t xml:space="preserve"> </w:t>
      </w:r>
      <w:r>
        <w:t xml:space="preserve">Pair the Banker with a senior colleague who can provide guidance on balancing client needs with risk considerations.</w:t>
      </w:r>
    </w:p>
    <w:p>
      <w:pPr>
        <w:numPr>
          <w:ilvl w:val="0"/>
          <w:numId w:val="1001"/>
        </w:numPr>
        <w:pStyle w:val="Compact"/>
      </w:pPr>
      <w:r>
        <w:rPr>
          <w:bCs/>
          <w:b/>
        </w:rPr>
        <w:t xml:space="preserve">Performance Metrics:</w:t>
      </w:r>
      <w:r>
        <w:t xml:space="preserve"> </w:t>
      </w:r>
      <w:r>
        <w:t xml:space="preserve">Establish clear performance metrics related to innovation and efficiency to encourage continuous improvement.</w:t>
      </w:r>
    </w:p>
    <w:p>
      <w:pPr>
        <w:numPr>
          <w:ilvl w:val="0"/>
          <w:numId w:val="1001"/>
        </w:numPr>
        <w:pStyle w:val="Compact"/>
      </w:pPr>
      <w:r>
        <w:rPr>
          <w:bCs/>
          <w:b/>
        </w:rPr>
        <w:t xml:space="preserve">Feedback Mechanism:</w:t>
      </w:r>
      <w:r>
        <w:t xml:space="preserve"> </w:t>
      </w:r>
      <w:r>
        <w:t xml:space="preserve">Implement regular feedback sessions to address challenges promptly and reinforce positive behaviors.</w:t>
      </w:r>
    </w:p>
    <w:bookmarkEnd w:id="31"/>
    <w:bookmarkStart w:id="32" w:name="conclusion"/>
    <w:p>
      <w:pPr>
        <w:pStyle w:val="Heading2"/>
      </w:pPr>
      <w:r>
        <w:t xml:space="preserve">6. Conclusion</w:t>
      </w:r>
    </w:p>
    <w:p>
      <w:pPr>
        <w:pStyle w:val="FirstParagraph"/>
      </w:pPr>
      <w:r>
        <w:t xml:space="preserve">This Peer Review Report highlights the Banker’s significant contributions to the organization while identifying areas where further development is needed. By addressing the outlined recommendations, the Banker can enhance their professional capabilities and continue to deliver value to clients and stakeholders in Abu Dhabi’s dynamic financial ecosystem. Overall, the Banker demonstrates strong potential for growth and remains a valuable asset to the institution.</w:t>
      </w:r>
    </w:p>
    <w:bookmarkEnd w:id="32"/>
    <w:p>
      <w:pPr>
        <w:pStyle w:val="BodyText"/>
      </w:pPr>
      <w:r>
        <w:rPr>
          <w:bCs/>
          <w:b/>
        </w:rPr>
        <w:t xml:space="preserve">Prepared by:</w:t>
      </w:r>
    </w:p>
    <w:p>
      <w:pPr>
        <w:pStyle w:val="BodyText"/>
      </w:pPr>
      <w:r>
        <w:t xml:space="preserve">Name: [Reviewer’s Name]</w:t>
      </w:r>
    </w:p>
    <w:p>
      <w:pPr>
        <w:pStyle w:val="BodyText"/>
      </w:pPr>
      <w:r>
        <w:t xml:space="preserve">Position: Senior Banking Analyst</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2026-10-10T05:54:14Z</dcterms:created>
  <dcterms:modified xsi:type="dcterms:W3CDTF">2026-10-10T05:54:14Z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