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Peer Review Committee</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ethical conduct, and operational efficiency of a Banker operating within the financial sector of United Arab Emirates Dubai. The purpose of this review is to ensure that the Banker adheres to the highest standards of professionalism, regulatory compliance, and customer service as expected in the dynamic financial landscape of Dubai.</w:t>
      </w:r>
    </w:p>
    <w:p>
      <w:pPr>
        <w:pStyle w:val="BodyText"/>
      </w:pPr>
      <w:r>
        <w:t xml:space="preserve">The review process involved a comprehensive evaluation of the Banker's activities over the past six months, including client interactions, transaction management, risk assessment, and adherence to local and international banking regulations. The findings of this report will serve as a basis for feedback, professional development, and potential recognition or corrective actions.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rPr>
          <w:bCs/>
          <w:b/>
        </w:rPr>
        <w:t xml:space="preserve">Regulatory Compliance:</w:t>
      </w:r>
      <w:r>
        <w:t xml:space="preserve"> </w:t>
      </w:r>
      <w:r>
        <w:t xml:space="preserve">Adherence to the Central Bank of the United Arab Emirates regulations and international anti-money laundering (AML) standards.</w:t>
      </w:r>
    </w:p>
    <w:p>
      <w:pPr>
        <w:numPr>
          <w:ilvl w:val="0"/>
          <w:numId w:val="1001"/>
        </w:numPr>
        <w:pStyle w:val="Compact"/>
      </w:pPr>
      <w:r>
        <w:rPr>
          <w:bCs/>
          <w:b/>
        </w:rPr>
        <w:t xml:space="preserve">Customer Service:</w:t>
      </w:r>
      <w:r>
        <w:t xml:space="preserve"> </w:t>
      </w:r>
      <w:r>
        <w:t xml:space="preserve">Quality of interactions with clients, responsiveness, and ability to meet customer needs.</w:t>
      </w:r>
    </w:p>
    <w:p>
      <w:pPr>
        <w:numPr>
          <w:ilvl w:val="0"/>
          <w:numId w:val="1001"/>
        </w:numPr>
        <w:pStyle w:val="Compact"/>
      </w:pPr>
      <w:r>
        <w:rPr>
          <w:bCs/>
          <w:b/>
        </w:rPr>
        <w:t xml:space="preserve">Operational Efficiency:</w:t>
      </w:r>
      <w:r>
        <w:t xml:space="preserve"> </w:t>
      </w:r>
      <w:r>
        <w:t xml:space="preserve">Accuracy and timeliness in processing transactions, managing accounts, and resolving issues.</w:t>
      </w:r>
    </w:p>
    <w:p>
      <w:pPr>
        <w:numPr>
          <w:ilvl w:val="0"/>
          <w:numId w:val="1001"/>
        </w:numPr>
        <w:pStyle w:val="Compact"/>
      </w:pPr>
      <w:r>
        <w:rPr>
          <w:bCs/>
          <w:b/>
        </w:rPr>
        <w:t xml:space="preserve">Risk Management:</w:t>
      </w:r>
      <w:r>
        <w:t xml:space="preserve"> </w:t>
      </w:r>
      <w:r>
        <w:t xml:space="preserve">Identification and mitigation of financial risks, including credit risk and fraud prevention.</w:t>
      </w:r>
    </w:p>
    <w:p>
      <w:pPr>
        <w:numPr>
          <w:ilvl w:val="0"/>
          <w:numId w:val="1001"/>
        </w:numPr>
        <w:pStyle w:val="Compact"/>
      </w:pPr>
      <w:r>
        <w:rPr>
          <w:bCs/>
          <w:b/>
        </w:rPr>
        <w:t xml:space="preserve">Professional Conduct:</w:t>
      </w:r>
      <w:r>
        <w:t xml:space="preserve"> </w:t>
      </w:r>
      <w:r>
        <w:t xml:space="preserve">Ethical behavior, integrity, and alignment with the bank's code of conduct.</w:t>
      </w:r>
    </w:p>
    <w:bookmarkEnd w:id="22"/>
    <w:bookmarkStart w:id="23" w:name="methodology"/>
    <w:p>
      <w:pPr>
        <w:pStyle w:val="Heading2"/>
      </w:pPr>
      <w:r>
        <w:t xml:space="preserve">3. Methodology</w:t>
      </w:r>
    </w:p>
    <w:p>
      <w:pPr>
        <w:pStyle w:val="FirstParagraph"/>
      </w:pPr>
      <w:r>
        <w:t xml:space="preserve">The review was conducted using a combination of quantitative and qualitative methods:</w:t>
      </w:r>
    </w:p>
    <w:p>
      <w:pPr>
        <w:numPr>
          <w:ilvl w:val="0"/>
          <w:numId w:val="1002"/>
        </w:numPr>
        <w:pStyle w:val="Compact"/>
      </w:pPr>
      <w:r>
        <w:rPr>
          <w:bCs/>
          <w:b/>
        </w:rPr>
        <w:t xml:space="preserve">Document Analysis:</w:t>
      </w:r>
      <w:r>
        <w:t xml:space="preserve"> </w:t>
      </w:r>
      <w:r>
        <w:t xml:space="preserve">Review of transaction records, client feedback forms, and compliance reports.</w:t>
      </w:r>
    </w:p>
    <w:p>
      <w:pPr>
        <w:numPr>
          <w:ilvl w:val="0"/>
          <w:numId w:val="1002"/>
        </w:numPr>
        <w:pStyle w:val="Compact"/>
      </w:pPr>
      <w:r>
        <w:rPr>
          <w:bCs/>
          <w:b/>
        </w:rPr>
        <w:t xml:space="preserve">Peer Interviews:</w:t>
      </w:r>
      <w:r>
        <w:t xml:space="preserve"> </w:t>
      </w:r>
      <w:r>
        <w:t xml:space="preserve">Discussions with colleagues and supervisors to gather insights into the Banker's performance.</w:t>
      </w:r>
    </w:p>
    <w:p>
      <w:pPr>
        <w:numPr>
          <w:ilvl w:val="0"/>
          <w:numId w:val="1002"/>
        </w:numPr>
        <w:pStyle w:val="Compact"/>
      </w:pPr>
      <w:r>
        <w:rPr>
          <w:bCs/>
          <w:b/>
        </w:rPr>
        <w:t xml:space="preserve">Client Feedback:</w:t>
      </w:r>
      <w:r>
        <w:t xml:space="preserve"> </w:t>
      </w:r>
      <w:r>
        <w:t xml:space="preserve">Analysis of customer satisfaction surveys and direct feedback.</w:t>
      </w:r>
    </w:p>
    <w:p>
      <w:pPr>
        <w:numPr>
          <w:ilvl w:val="0"/>
          <w:numId w:val="1002"/>
        </w:numPr>
        <w:pStyle w:val="Compact"/>
      </w:pPr>
      <w:r>
        <w:rPr>
          <w:bCs/>
          <w:b/>
        </w:rPr>
        <w:t xml:space="preserve">Observation:</w:t>
      </w:r>
      <w:r>
        <w:t xml:space="preserve"> </w:t>
      </w:r>
      <w:r>
        <w:t xml:space="preserve">Direct observation of the Banker's interactions with clients and handling of transactions.</w:t>
      </w:r>
    </w:p>
    <w:bookmarkEnd w:id="23"/>
    <w:bookmarkStart w:id="29" w:name="findings"/>
    <w:p>
      <w:pPr>
        <w:pStyle w:val="Heading2"/>
      </w:pPr>
      <w:r>
        <w:t xml:space="preserve">4. Findings</w:t>
      </w:r>
    </w:p>
    <w:bookmarkStart w:id="24" w:name="regulatory-compliance"/>
    <w:p>
      <w:pPr>
        <w:pStyle w:val="Heading3"/>
      </w:pPr>
      <w:r>
        <w:t xml:space="preserve">4.1 Regulatory Compliance</w:t>
      </w:r>
    </w:p>
    <w:p>
      <w:pPr>
        <w:pStyle w:val="FirstParagraph"/>
      </w:pPr>
      <w:r>
        <w:t xml:space="preserve">The Banker has demonstrated a strong understanding of the regulatory framework governing banking operations in United Arab Emirates Dubai. All transactions reviewed were in compliance with the Central Bank of the UAE's guidelines, and there were no instances of non-compliance with AML regulations. The Banker consistently updated their knowledge of regulatory changes and implemented necessary adjustments in their workflow.</w:t>
      </w:r>
    </w:p>
    <w:bookmarkEnd w:id="24"/>
    <w:bookmarkStart w:id="25" w:name="customer-service"/>
    <w:p>
      <w:pPr>
        <w:pStyle w:val="Heading3"/>
      </w:pPr>
      <w:r>
        <w:t xml:space="preserve">4.2 Customer Service</w:t>
      </w:r>
    </w:p>
    <w:p>
      <w:pPr>
        <w:pStyle w:val="FirstParagraph"/>
      </w:pPr>
      <w:r>
        <w:t xml:space="preserve">Client feedback indicates a high level of satisfaction with the Banker's service. The Banker is praised for their professionalism, attentiveness, and ability to provide tailored financial solutions. However, there were a few instances where response times to client inquiries could be improved, particularly during peak hours.</w:t>
      </w:r>
    </w:p>
    <w:bookmarkEnd w:id="25"/>
    <w:bookmarkStart w:id="26" w:name="operational-efficiency"/>
    <w:p>
      <w:pPr>
        <w:pStyle w:val="Heading3"/>
      </w:pPr>
      <w:r>
        <w:t xml:space="preserve">4.3 Operational Efficiency</w:t>
      </w:r>
    </w:p>
    <w:p>
      <w:pPr>
        <w:pStyle w:val="FirstParagraph"/>
      </w:pPr>
      <w:r>
        <w:t xml:space="preserve">The Banker has shown a high degree of accuracy in processing transactions and managing accounts. There were minimal errors reported, and any issues that arose were resolved promptly. The Banker's ability to multitask and manage a high volume of transactions efficiently is commendable.</w:t>
      </w:r>
    </w:p>
    <w:bookmarkEnd w:id="26"/>
    <w:bookmarkStart w:id="27" w:name="risk-management"/>
    <w:p>
      <w:pPr>
        <w:pStyle w:val="Heading3"/>
      </w:pPr>
      <w:r>
        <w:t xml:space="preserve">4.4 Risk Management</w:t>
      </w:r>
    </w:p>
    <w:p>
      <w:pPr>
        <w:pStyle w:val="FirstParagraph"/>
      </w:pPr>
      <w:r>
        <w:t xml:space="preserve">The Banker has effectively identified and mitigated potential financial risks. They have demonstrated a proactive approach to fraud prevention and credit risk assessment. However, there is room for improvement in documenting risk assessment processes for future reference and audit purposes.</w:t>
      </w:r>
    </w:p>
    <w:bookmarkEnd w:id="27"/>
    <w:bookmarkStart w:id="28" w:name="professional-conduct"/>
    <w:p>
      <w:pPr>
        <w:pStyle w:val="Heading3"/>
      </w:pPr>
      <w:r>
        <w:t xml:space="preserve">4.5 Professional Conduct</w:t>
      </w:r>
    </w:p>
    <w:p>
      <w:pPr>
        <w:pStyle w:val="FirstParagraph"/>
      </w:pPr>
      <w:r>
        <w:t xml:space="preserve">The Banker has maintained a high standard of ethical behavior and integrity throughout the review period. They have consistently adhered to the bank's code of conduct and have been a positive role model for their peers. Their commitment to confidentiality and transparency is particularly noteworthy.</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 Response Times:</w:t>
      </w:r>
      <w:r>
        <w:t xml:space="preserve"> </w:t>
      </w:r>
      <w:r>
        <w:t xml:space="preserve">Implement strategies to improve response times to client inquiries, especially during peak hours. This could include delegating tasks or utilizing technology to streamline communication.</w:t>
      </w:r>
    </w:p>
    <w:p>
      <w:pPr>
        <w:numPr>
          <w:ilvl w:val="0"/>
          <w:numId w:val="1003"/>
        </w:numPr>
        <w:pStyle w:val="Compact"/>
      </w:pPr>
      <w:r>
        <w:rPr>
          <w:bCs/>
          <w:b/>
        </w:rPr>
        <w:t xml:space="preserve">Improve Documentation:</w:t>
      </w:r>
      <w:r>
        <w:t xml:space="preserve"> </w:t>
      </w:r>
      <w:r>
        <w:t xml:space="preserve">Enhance the documentation of risk assessment processes to ensure they are easily accessible for audits and future reference.</w:t>
      </w:r>
    </w:p>
    <w:p>
      <w:pPr>
        <w:numPr>
          <w:ilvl w:val="0"/>
          <w:numId w:val="1003"/>
        </w:numPr>
        <w:pStyle w:val="Compact"/>
      </w:pPr>
      <w:r>
        <w:rPr>
          <w:bCs/>
          <w:b/>
        </w:rPr>
        <w:t xml:space="preserve">Continuous Training:</w:t>
      </w:r>
      <w:r>
        <w:t xml:space="preserve"> </w:t>
      </w:r>
      <w:r>
        <w:t xml:space="preserve">Encourage ongoing professional development through training programs focused on emerging trends in banking and financial regulations in United Arab Emirates Dubai.</w:t>
      </w:r>
    </w:p>
    <w:p>
      <w:pPr>
        <w:numPr>
          <w:ilvl w:val="0"/>
          <w:numId w:val="1003"/>
        </w:numPr>
        <w:pStyle w:val="Compact"/>
      </w:pPr>
      <w:r>
        <w:rPr>
          <w:bCs/>
          <w:b/>
        </w:rPr>
        <w:t xml:space="preserve">Recognition:</w:t>
      </w:r>
      <w:r>
        <w:t xml:space="preserve"> </w:t>
      </w:r>
      <w:r>
        <w:t xml:space="preserve">Recognize the Banker's strong performance in regulatory compliance, customer service, and professional conduct through formal acknowledgment or incentives.</w:t>
      </w:r>
    </w:p>
    <w:bookmarkEnd w:id="30"/>
    <w:bookmarkStart w:id="31" w:name="conclusion"/>
    <w:p>
      <w:pPr>
        <w:pStyle w:val="Heading2"/>
      </w:pPr>
      <w:r>
        <w:t xml:space="preserve">6. Conclusion</w:t>
      </w:r>
    </w:p>
    <w:p>
      <w:pPr>
        <w:pStyle w:val="FirstParagraph"/>
      </w:pPr>
      <w:r>
        <w:t xml:space="preserve">This Peer Review Report highlights the Banker's strong performance in key areas critical to their role in the financial sector of United Arab Emirates Dubai. While there are areas for improvement, particularly in response times and documentation, the Banker has demonstrated a high level of professionalism, regulatory compliance, and customer service. The recommendations provided in this report are intended to support the Banker's continued growth and success in their role.</w:t>
      </w:r>
    </w:p>
    <w:bookmarkEnd w:id="31"/>
    <w:p>
      <w:pPr>
        <w:pStyle w:val="BodyText"/>
      </w:pPr>
      <w:r>
        <w:rPr>
          <w:bCs/>
          <w:b/>
        </w:rPr>
        <w:t xml:space="preserve">Prepared by:</w:t>
      </w:r>
    </w:p>
    <w:p>
      <w:pPr>
        <w:pStyle w:val="BodyText"/>
      </w:pPr>
      <w:r>
        <w:t xml:space="preserve">___________________________</w:t>
      </w:r>
    </w:p>
    <w:p>
      <w:pPr>
        <w:pStyle w:val="BodyText"/>
      </w:pPr>
      <w:r>
        <w:t xml:space="preserve">Peer Review Committee Chair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2026-10-10T08:14:57Z</dcterms:created>
  <dcterms:modified xsi:type="dcterms:W3CDTF">2026-10-10T08:14:57Z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