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Confidential Performance Assessment Document</w:t>
      </w:r>
    </w:p>
    <w:bookmarkEnd w:id="20"/>
    <w:p>
      <w:pPr>
        <w:pStyle w:val="BodyText"/>
      </w:pPr>
      <w:r>
        <w:rPr>
          <w:bCs/>
          <w:b/>
        </w:rPr>
        <w:t xml:space="preserve">Subject Role:</w:t>
      </w:r>
      <w:r>
        <w:t xml:space="preserve"> </w:t>
      </w:r>
      <w:r>
        <w:t xml:space="preserve">Banker (Corporate &amp; Investment Banking Division)</w:t>
      </w:r>
    </w:p>
    <w:p>
      <w:pPr>
        <w:pStyle w:val="BodyText"/>
      </w:pPr>
      <w:r>
        <w:rPr>
          <w:bCs/>
          <w:b/>
        </w:rPr>
        <w:t xml:space="preserve">Location:</w:t>
      </w:r>
      <w:r>
        <w:t xml:space="preserve"> </w:t>
      </w:r>
      <w:r>
        <w:t xml:space="preserve">United Kingdom London (City of London Financial District)</w:t>
      </w:r>
    </w:p>
    <w:p>
      <w:pPr>
        <w:pStyle w:val="BodyText"/>
      </w:pPr>
      <w:r>
        <w:rPr>
          <w:bCs/>
          <w:b/>
        </w:rPr>
        <w:t xml:space="preserve">Review Period:</w:t>
      </w:r>
      <w:r>
        <w:t xml:space="preserve"> </w:t>
      </w:r>
      <w:r>
        <w:t xml:space="preserve">Q3 &amp; Q4 2023</w:t>
      </w:r>
    </w:p>
    <w:p>
      <w:pPr>
        <w:pStyle w:val="BodyText"/>
      </w:pPr>
      <w:r>
        <w:rPr>
          <w:bCs/>
          <w:b/>
        </w:rPr>
        <w:t xml:space="preserve">Reviewer:</w:t>
      </w:r>
      <w:r>
        <w:t xml:space="preserve"> </w:t>
      </w:r>
      <w:r>
        <w:t xml:space="preserve">Senior Associate / Peer Colleague</w:t>
      </w:r>
    </w:p>
    <w:p>
      <w:pPr>
        <w:pStyle w:val="BodyText"/>
      </w:pPr>
      <w:r>
        <w:rPr>
          <w:bCs/>
          <w:b/>
        </w:rPr>
        <w:t xml:space="preserve">Date of Submission:</w:t>
      </w:r>
      <w:r>
        <w:t xml:space="preserve"> </w:t>
      </w:r>
      <w:r>
        <w:t xml:space="preserve">15 January 2024</w:t>
      </w:r>
    </w:p>
    <w:p>
      <w:pPr>
        <w:pStyle w:val="BodyText"/>
      </w:pPr>
      <w:r>
        <w:rPr>
          <w:bCs/>
          <w:b/>
        </w:rPr>
        <w:t xml:space="preserve">Regulatory Context:</w:t>
      </w:r>
      <w:r>
        <w:t xml:space="preserve"> </w:t>
      </w:r>
      <w:r>
        <w:t xml:space="preserve">FCA &amp; PRA Compliance Standards</w:t>
      </w:r>
    </w:p>
    <w:bookmarkStart w:id="21" w:name="executive-summary"/>
    <w:p>
      <w:pPr>
        <w:pStyle w:val="Heading2"/>
      </w:pPr>
      <w:r>
        <w:t xml:space="preserve">1. Executive Summary</w:t>
      </w:r>
    </w:p>
    <w:p>
      <w:pPr>
        <w:pStyle w:val="FirstParagraph"/>
      </w:pPr>
      <w:r>
        <w:t xml:space="preserve">This Peer Review Report serves as a formal evaluation of the professional conduct, technical competency, and operational efficiency of the subject Banker. The assessment is conducted within the rigorous environment of the United Kingdom London financial sector, where adherence to the highest standards of integrity and precision is paramount. The purpose of this document is to provide an objective analysis of the Banker's performance over the specified review period, highlighting areas of excellence while identifying necessary improvements to align with the strategic goals of the institution and the regulatory expectations of the Financial Conduct Authority (FCA).</w:t>
      </w:r>
    </w:p>
    <w:bookmarkEnd w:id="21"/>
    <w:bookmarkStart w:id="22" w:name="X259e2fc8e98baa078ec91f62d243f323501c0eb"/>
    <w:p>
      <w:pPr>
        <w:pStyle w:val="Heading2"/>
      </w:pPr>
      <w:r>
        <w:t xml:space="preserve">2. Technical Competency and Market Knowledge</w:t>
      </w:r>
    </w:p>
    <w:p>
      <w:pPr>
        <w:pStyle w:val="FirstParagraph"/>
      </w:pPr>
      <w:r>
        <w:t xml:space="preserve">The Banker has demonstrated a robust understanding of the current macroeconomic landscape affecting the United Kingdom London market. Specifically, their ability to navigate the complexities of interest rate fluctuations and their impact on corporate lending portfolios has been commendable. During the review period, the Banker successfully led the due diligence process for three major mid-market acquisitions, showcasing advanced financial modelling skills and a keen eye for risk assessment.</w:t>
      </w:r>
    </w:p>
    <w:p>
      <w:pPr>
        <w:pStyle w:val="BodyText"/>
      </w:pPr>
      <w:r>
        <w:t xml:space="preserve">Furthermore, the Banker exhibits a strong grasp of regulatory frameworks specific to the UK jurisdiction. Their proactive approach to ensuring that all client transactions comply with anti-money laundering (AML) protocols and the Senior Managers and Certification Regime (SMCR) reflects a mature understanding of the responsibilities inherent to their role. This technical proficiency ensures that the firm maintains its reputation for reliability and compliance within the competitive London banking ecosystem.</w:t>
      </w:r>
    </w:p>
    <w:bookmarkEnd w:id="22"/>
    <w:bookmarkStart w:id="23" w:name="client-relationship-management"/>
    <w:p>
      <w:pPr>
        <w:pStyle w:val="Heading2"/>
      </w:pPr>
      <w:r>
        <w:t xml:space="preserve">3. Client Relationship Management</w:t>
      </w:r>
    </w:p>
    <w:p>
      <w:pPr>
        <w:pStyle w:val="FirstParagraph"/>
      </w:pPr>
      <w:r>
        <w:t xml:space="preserve">In the high-stakes environment of United Kingdom London banking, relationship management is as critical as technical skill. The Banker has shown significant growth in cultivating and maintaining relationships with key institutional clients. Their communication style is professional, articulate, and tailored to the needs of sophisticated stakeholders. Feedback from client interactions suggests that the Banker is viewed as a trusted advisor rather than merely a service provider.</w:t>
      </w:r>
    </w:p>
    <w:p>
      <w:pPr>
        <w:pStyle w:val="BodyText"/>
      </w:pPr>
      <w:r>
        <w:t xml:space="preserve">Notably, the Banker's ability to manage client expectations during periods of market volatility has been a standout attribute. By providing clear, data-driven insights and maintaining transparent communication channels, they have successfully retained several high-value accounts that were at risk of attrition. This capability is essential for sustaining revenue streams and fostering long-term loyalty in the London market.</w:t>
      </w:r>
    </w:p>
    <w:bookmarkEnd w:id="23"/>
    <w:bookmarkStart w:id="24" w:name="team-collaboration-and-leadership"/>
    <w:p>
      <w:pPr>
        <w:pStyle w:val="Heading2"/>
      </w:pPr>
      <w:r>
        <w:t xml:space="preserve">4. Team Collaboration and Leadership</w:t>
      </w:r>
    </w:p>
    <w:p>
      <w:pPr>
        <w:pStyle w:val="FirstParagraph"/>
      </w:pPr>
      <w:r>
        <w:t xml:space="preserve">The Banker operates effectively within a cross-functional team structure, collaborating seamlessly with colleagues in legal, compliance, and risk management departments. Their willingness to share knowledge and mentor junior staff members contributes positively to the overall culture of the division. During complex deal cycles, the Banker has demonstrated leadership qualities by coordinating workflows and ensuring that deadlines are met without compromising the quality of deliverables.</w:t>
      </w:r>
    </w:p>
    <w:p>
      <w:pPr>
        <w:pStyle w:val="BodyText"/>
      </w:pPr>
      <w:r>
        <w:t xml:space="preserve">However, there is an opportunity for improvement in delegating tasks more effectively. At times, the Banker has been observed retaining control over minor administrative details, which can lead to bottlenecks. Encouraging a more distributed approach to project management would enhance team efficiency and allow the Banker to focus on higher-value strategic activities.</w:t>
      </w:r>
    </w:p>
    <w:bookmarkEnd w:id="24"/>
    <w:bookmarkStart w:id="25" w:name="compliance-and-ethical-standards"/>
    <w:p>
      <w:pPr>
        <w:pStyle w:val="Heading2"/>
      </w:pPr>
      <w:r>
        <w:t xml:space="preserve">5. Compliance and Ethical Standards</w:t>
      </w:r>
    </w:p>
    <w:p>
      <w:pPr>
        <w:pStyle w:val="FirstParagraph"/>
      </w:pPr>
      <w:r>
        <w:t xml:space="preserve">Adherence to ethical standards is non-negotiable for any Banker operating in the United Kingdom London financial district. This Peer Review Report confirms that the subject has maintained an exemplary record of compliance throughout the review period. There have been no breaches of internal policies or external regulations. The Banker consistently prioritises the integrity of the firm over short-term gains, a trait that is highly valued by senior management and regulators alike.</w:t>
      </w:r>
    </w:p>
    <w:p>
      <w:pPr>
        <w:pStyle w:val="BodyText"/>
      </w:pPr>
      <w:r>
        <w:t xml:space="preserve">Their participation in mandatory training sessions regarding market abuse prevention and data protection (GDPR) has been thorough, and they have actively applied these learnings to their daily operations. This commitment to ethical banking practices reinforces the firm's standing as a responsible market participant.</w:t>
      </w:r>
    </w:p>
    <w:bookmarkEnd w:id="25"/>
    <w:bookmarkStart w:id="26" w:name="areas-for-development"/>
    <w:p>
      <w:pPr>
        <w:pStyle w:val="Heading2"/>
      </w:pPr>
      <w:r>
        <w:t xml:space="preserve">6. Areas for Development</w:t>
      </w:r>
    </w:p>
    <w:p>
      <w:pPr>
        <w:pStyle w:val="FirstParagraph"/>
      </w:pPr>
      <w:r>
        <w:t xml:space="preserve">While the Banker's performance is largely positive, this report identifies specific areas for development to ensure continued career progression:</w:t>
      </w:r>
    </w:p>
    <w:p>
      <w:pPr>
        <w:numPr>
          <w:ilvl w:val="0"/>
          <w:numId w:val="1001"/>
        </w:numPr>
        <w:pStyle w:val="Compact"/>
      </w:pPr>
      <w:r>
        <w:rPr>
          <w:bCs/>
          <w:b/>
        </w:rPr>
        <w:t xml:space="preserve">Strategic Vision:</w:t>
      </w:r>
      <w:r>
        <w:t xml:space="preserve"> </w:t>
      </w:r>
      <w:r>
        <w:t xml:space="preserve">The Banker should focus on developing a broader strategic perspective, looking beyond immediate deal execution to understand long-term market trends and their implications for the firm's positioning in London.</w:t>
      </w:r>
    </w:p>
    <w:p>
      <w:pPr>
        <w:numPr>
          <w:ilvl w:val="0"/>
          <w:numId w:val="1001"/>
        </w:numPr>
        <w:pStyle w:val="Compact"/>
      </w:pPr>
      <w:r>
        <w:rPr>
          <w:bCs/>
          <w:b/>
        </w:rPr>
        <w:t xml:space="preserve">Time Management:</w:t>
      </w:r>
      <w:r>
        <w:t xml:space="preserve"> </w:t>
      </w:r>
      <w:r>
        <w:t xml:space="preserve">Improving prioritisation techniques will help manage the heavy workload typical of the banking sector, reducing stress and preventing burnout.</w:t>
      </w:r>
    </w:p>
    <w:p>
      <w:pPr>
        <w:numPr>
          <w:ilvl w:val="0"/>
          <w:numId w:val="1001"/>
        </w:numPr>
        <w:pStyle w:val="Compact"/>
      </w:pPr>
      <w:r>
        <w:rPr>
          <w:bCs/>
          <w:b/>
        </w:rPr>
        <w:t xml:space="preserve">Public Speaking:</w:t>
      </w:r>
      <w:r>
        <w:t xml:space="preserve"> </w:t>
      </w:r>
      <w:r>
        <w:t xml:space="preserve">Enhancing presentation skills will be beneficial for pitching to prospective clients and representing the firm at industry conferences.</w:t>
      </w:r>
    </w:p>
    <w:bookmarkEnd w:id="26"/>
    <w:bookmarkStart w:id="27" w:name="conclusion"/>
    <w:p>
      <w:pPr>
        <w:pStyle w:val="Heading2"/>
      </w:pPr>
      <w:r>
        <w:t xml:space="preserve">7. Conclusion</w:t>
      </w:r>
    </w:p>
    <w:p>
      <w:pPr>
        <w:pStyle w:val="FirstParagraph"/>
      </w:pPr>
      <w:r>
        <w:t xml:space="preserve">In conclusion, this Peer Review Report affirms that the Banker is a valuable asset to the organisation. Their technical expertise, client-centric approach, and unwavering commitment to compliance make them well-suited to the demands of the United Kingdom London banking sector. By addressing the identified areas for development, the Banker is well-positioned to assume greater responsibilities and contribute further to the firm's success in the coming years. This assessment is submitted with the utmost professionalism and objectivity, in accordance with the standards expected of a Peer Review Report within this industry.</w:t>
      </w:r>
    </w:p>
    <w:p>
      <w:pPr>
        <w:pStyle w:val="BodyText"/>
      </w:pPr>
      <w:r>
        <w:rPr>
          <w:bCs/>
          <w:b/>
        </w:rPr>
        <w:t xml:space="preserve">Reviewer Name</w:t>
      </w:r>
      <w:r>
        <w:br/>
      </w:r>
      <w:r>
        <w:t xml:space="preserve">Senior Associate</w:t>
      </w:r>
    </w:p>
    <w:p>
      <w:pPr>
        <w:pStyle w:val="BodyText"/>
      </w:pPr>
      <w:r>
        <w:rPr>
          <w:bCs/>
          <w:b/>
        </w:rPr>
        <w:t xml:space="preserve">Subject Banker Name</w:t>
      </w:r>
      <w:r>
        <w:br/>
      </w:r>
      <w:r>
        <w:t xml:space="preserve">Banker</w:t>
      </w:r>
    </w:p>
    <w:p>
      <w:pPr>
        <w:pStyle w:val="BodyText"/>
      </w:pPr>
      <w:r>
        <w:t xml:space="preserve">© 2024 Financial Services Group.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2026-10-10T05:55:18Z</dcterms:created>
  <dcterms:modified xsi:type="dcterms:W3CDTF">2026-10-10T05:55:18Z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