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Banker Performance Evaluation</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competencies, and contributions of a Banker operating within the financial sector in New York City, United States. The purpose of this document is to provide a comprehensive assessment based on peer feedback, observable behaviors, and measurable outcomes. This review aligns with industry standards and regulatory expectations specific to banking professionals in one of the world’s most prominent financial hubs.</w:t>
      </w:r>
    </w:p>
    <w:bookmarkEnd w:id="21"/>
    <w:bookmarkStart w:id="22" w:name="background-information"/>
    <w:p>
      <w:pPr>
        <w:pStyle w:val="Heading2"/>
      </w:pPr>
      <w:r>
        <w:t xml:space="preserve">2. Background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Banker</w:t>
            </w:r>
          </w:p>
        </w:tc>
        <w:tc>
          <w:tcPr/>
          <w:p>
            <w:pPr>
              <w:pStyle w:val="Compact"/>
              <w:jc w:val="left"/>
            </w:pPr>
            <w:r>
              <w:t xml:space="preserve">[Banker's Full Name]</w:t>
            </w:r>
          </w:p>
        </w:tc>
      </w:tr>
      <w:tr>
        <w:tc>
          <w:tcPr/>
          <w:p>
            <w:pPr>
              <w:pStyle w:val="Compact"/>
              <w:jc w:val="left"/>
            </w:pPr>
            <w:r>
              <w:t xml:space="preserve">Position</w:t>
            </w:r>
          </w:p>
        </w:tc>
        <w:tc>
          <w:tcPr/>
          <w:p>
            <w:pPr>
              <w:pStyle w:val="Compact"/>
              <w:jc w:val="left"/>
            </w:pPr>
            <w:r>
              <w:t xml:space="preserve">[Job Title]</w:t>
            </w:r>
          </w:p>
        </w:tc>
      </w:tr>
      <w:tr>
        <w:tc>
          <w:tcPr/>
          <w:p>
            <w:pPr>
              <w:pStyle w:val="Compact"/>
              <w:jc w:val="left"/>
            </w:pPr>
            <w:r>
              <w:t xml:space="preserve">Department</w:t>
            </w:r>
          </w:p>
        </w:tc>
        <w:tc>
          <w:tcPr/>
          <w:p>
            <w:pPr>
              <w:pStyle w:val="Compact"/>
              <w:jc w:val="left"/>
            </w:pPr>
            <w:r>
              <w:t xml:space="preserve">[Department Name]</w:t>
            </w:r>
          </w:p>
        </w:tc>
      </w:tr>
      <w:tr>
        <w:tc>
          <w:tcPr/>
          <w:p>
            <w:pPr>
              <w:pStyle w:val="Compact"/>
              <w:jc w:val="left"/>
            </w:pPr>
            <w:r>
              <w:t xml:space="preserve">Branch/Office Location</w:t>
            </w:r>
          </w:p>
        </w:tc>
        <w:tc>
          <w:tcPr/>
          <w:p>
            <w:pPr>
              <w:pStyle w:val="Compact"/>
              <w:jc w:val="left"/>
            </w:pPr>
            <w:r>
              <w:t xml:space="preserve">New York City, United States</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Reviewer(s)</w:t>
            </w:r>
          </w:p>
        </w:tc>
        <w:tc>
          <w:tcPr/>
          <w:p>
            <w:pPr>
              <w:pStyle w:val="Compact"/>
              <w:jc w:val="left"/>
            </w:pPr>
            <w:r>
              <w:t xml:space="preserve">[Names and Titles of Peer Reviewers]</w:t>
            </w:r>
          </w:p>
        </w:tc>
      </w:tr>
    </w:tbl>
    <w:bookmarkEnd w:id="22"/>
    <w:bookmarkStart w:id="23" w:name="evaluation-criteria"/>
    <w:p>
      <w:pPr>
        <w:pStyle w:val="Heading2"/>
      </w:pPr>
      <w:r>
        <w:t xml:space="preserve">3. Evaluation Criteria</w:t>
      </w:r>
    </w:p>
    <w:p>
      <w:pPr>
        <w:pStyle w:val="FirstParagraph"/>
      </w:pPr>
      <w:r>
        <w:t xml:space="preserve">The evaluation of the Banker was conducted based on the following key criteria:</w:t>
      </w:r>
    </w:p>
    <w:p>
      <w:pPr>
        <w:numPr>
          <w:ilvl w:val="0"/>
          <w:numId w:val="1001"/>
        </w:numPr>
        <w:pStyle w:val="Compact"/>
      </w:pPr>
      <w:r>
        <w:t xml:space="preserve">Technical expertise and knowledge of banking products and services</w:t>
      </w:r>
    </w:p>
    <w:p>
      <w:pPr>
        <w:numPr>
          <w:ilvl w:val="0"/>
          <w:numId w:val="1001"/>
        </w:numPr>
        <w:pStyle w:val="Compact"/>
      </w:pPr>
      <w:r>
        <w:t xml:space="preserve">Client relationship management and customer service quality</w:t>
      </w:r>
    </w:p>
    <w:p>
      <w:pPr>
        <w:numPr>
          <w:ilvl w:val="0"/>
          <w:numId w:val="1001"/>
        </w:numPr>
        <w:pStyle w:val="Compact"/>
      </w:pPr>
      <w:r>
        <w:t xml:space="preserve">Compliance with regulatory requirements and internal policies</w:t>
      </w:r>
    </w:p>
    <w:p>
      <w:pPr>
        <w:numPr>
          <w:ilvl w:val="0"/>
          <w:numId w:val="1001"/>
        </w:numPr>
        <w:pStyle w:val="Compact"/>
      </w:pPr>
      <w:r>
        <w:t xml:space="preserve">Team collaboration and communication skills</w:t>
      </w:r>
    </w:p>
    <w:p>
      <w:pPr>
        <w:numPr>
          <w:ilvl w:val="0"/>
          <w:numId w:val="1001"/>
        </w:numPr>
        <w:pStyle w:val="Compact"/>
      </w:pPr>
      <w:r>
        <w:t xml:space="preserve">Problem-solving abilities and decision-making under pressure</w:t>
      </w:r>
    </w:p>
    <w:p>
      <w:pPr>
        <w:numPr>
          <w:ilvl w:val="0"/>
          <w:numId w:val="1001"/>
        </w:numPr>
        <w:pStyle w:val="Compact"/>
      </w:pPr>
      <w:r>
        <w:t xml:space="preserve">Adaptability to market changes and technological advancements</w:t>
      </w:r>
    </w:p>
    <w:p>
      <w:pPr>
        <w:numPr>
          <w:ilvl w:val="0"/>
          <w:numId w:val="1001"/>
        </w:numPr>
        <w:pStyle w:val="Compact"/>
      </w:pPr>
      <w:r>
        <w:t xml:space="preserve">Contribution to organizational goals and revenue generation</w:t>
      </w:r>
    </w:p>
    <w:bookmarkEnd w:id="23"/>
    <w:bookmarkStart w:id="31" w:name="detailed-assessment"/>
    <w:p>
      <w:pPr>
        <w:pStyle w:val="Heading2"/>
      </w:pPr>
      <w:r>
        <w:t xml:space="preserve">4. Detailed Assessment</w:t>
      </w:r>
    </w:p>
    <w:bookmarkStart w:id="24" w:name="technical-expertise"/>
    <w:p>
      <w:pPr>
        <w:pStyle w:val="Heading3"/>
      </w:pPr>
      <w:r>
        <w:t xml:space="preserve">4.1 Technical Expertise</w:t>
      </w:r>
    </w:p>
    <w:p>
      <w:pPr>
        <w:pStyle w:val="FirstParagraph"/>
      </w:pPr>
      <w:r>
        <w:t xml:space="preserve">The Banker demonstrates a strong understanding of financial products, including loans, deposits, wealth management solutions, and investment strategies. Their ability to explain complex financial concepts in clear terms has been particularly beneficial for clients in New York City, where expectations for financial literacy and service quality are exceptionally high. The Banker stays updated on market trends and regulatory changes, ensuring that advice provided is both accurate and timely.</w:t>
      </w:r>
    </w:p>
    <w:bookmarkEnd w:id="24"/>
    <w:bookmarkStart w:id="25" w:name="client-relationship-management"/>
    <w:p>
      <w:pPr>
        <w:pStyle w:val="Heading3"/>
      </w:pPr>
      <w:r>
        <w:t xml:space="preserve">4.2 Client Relationship Management</w:t>
      </w:r>
    </w:p>
    <w:p>
      <w:pPr>
        <w:pStyle w:val="FirstParagraph"/>
      </w:pPr>
      <w:r>
        <w:t xml:space="preserve">Client interactions have been consistently professional and empathetic. The Banker has successfully built trust with a diverse clientele, including high-net-worth individuals, small business owners, and corporate clients. Feedback from clients indicates satisfaction with the personalized attention and proactive communication received. The Banker’s efforts to understand client needs and tailor solutions accordingly have contributed to increased client retention and referrals.</w:t>
      </w:r>
    </w:p>
    <w:bookmarkEnd w:id="25"/>
    <w:bookmarkStart w:id="26" w:name="compliance-and-risk-management"/>
    <w:p>
      <w:pPr>
        <w:pStyle w:val="Heading3"/>
      </w:pPr>
      <w:r>
        <w:t xml:space="preserve">4.3 Compliance and Risk Management</w:t>
      </w:r>
    </w:p>
    <w:p>
      <w:pPr>
        <w:pStyle w:val="FirstParagraph"/>
      </w:pPr>
      <w:r>
        <w:t xml:space="preserve">Operating in New York City requires strict adherence to federal and state regulations, including those enforced by the Office of the Comptroller of the Currency (OCC), the Federal Reserve, and the New York State Department of Financial Services. The Banker has shown a commendable commitment to compliance, ensuring that all transactions and client interactions meet legal and ethical standards. There have been no reported violations or compliance issues during the review period.</w:t>
      </w:r>
    </w:p>
    <w:bookmarkEnd w:id="26"/>
    <w:bookmarkStart w:id="27" w:name="team-collaboration"/>
    <w:p>
      <w:pPr>
        <w:pStyle w:val="Heading3"/>
      </w:pPr>
      <w:r>
        <w:t xml:space="preserve">4.4 Team Collaboration</w:t>
      </w:r>
    </w:p>
    <w:p>
      <w:pPr>
        <w:pStyle w:val="FirstParagraph"/>
      </w:pPr>
      <w:r>
        <w:t xml:space="preserve">The Banker works effectively with colleagues across departments, including operations, risk management, and marketing. Their collaborative approach has facilitated smoother workflows and improved service delivery. Peer feedback highlights the Banker’s willingness to share knowledge, support team members, and contribute to a positive workplace culture.</w:t>
      </w:r>
    </w:p>
    <w:bookmarkEnd w:id="27"/>
    <w:bookmarkStart w:id="28" w:name="problem-solving-and-decision-making"/>
    <w:p>
      <w:pPr>
        <w:pStyle w:val="Heading3"/>
      </w:pPr>
      <w:r>
        <w:t xml:space="preserve">4.5 Problem-Solving and Decision-Making</w:t>
      </w:r>
    </w:p>
    <w:p>
      <w:pPr>
        <w:pStyle w:val="FirstParagraph"/>
      </w:pPr>
      <w:r>
        <w:t xml:space="preserve">In high-pressure situations, such as handling complex client requests or resolving account discrepancies, the Banker has demonstrated sound judgment and analytical skills. Their ability to remain calm and focused has been instrumental in maintaining client confidence and operational efficiency.</w:t>
      </w:r>
    </w:p>
    <w:bookmarkEnd w:id="28"/>
    <w:bookmarkStart w:id="29" w:name="adaptability-and-innovation"/>
    <w:p>
      <w:pPr>
        <w:pStyle w:val="Heading3"/>
      </w:pPr>
      <w:r>
        <w:t xml:space="preserve">4.6 Adaptability and Innovation</w:t>
      </w:r>
    </w:p>
    <w:p>
      <w:pPr>
        <w:pStyle w:val="FirstParagraph"/>
      </w:pPr>
      <w:r>
        <w:t xml:space="preserve">The financial landscape in New York City is rapidly evolving, with advancements in fintech and digital banking. The Banker has shown adaptability by embracing new technologies and processes, enhancing both personal productivity and client experience. Their openness to innovation positions them well for future challenges and opportunities.</w:t>
      </w:r>
    </w:p>
    <w:bookmarkEnd w:id="29"/>
    <w:bookmarkStart w:id="30" w:name="contribution-to-organizational-goals"/>
    <w:p>
      <w:pPr>
        <w:pStyle w:val="Heading3"/>
      </w:pPr>
      <w:r>
        <w:t xml:space="preserve">4.7 Contribution to Organizational Goals</w:t>
      </w:r>
    </w:p>
    <w:p>
      <w:pPr>
        <w:pStyle w:val="FirstParagraph"/>
      </w:pPr>
      <w:r>
        <w:t xml:space="preserve">The Banker has actively contributed to the institution’s strategic objectives, including revenue growth, market expansion, and brand reputation enhancement. Their performance metrics, such as sales targets, client acquisition, and cross-selling efforts, have consistently met or exceeded expectations.</w:t>
      </w:r>
    </w:p>
    <w:bookmarkEnd w:id="30"/>
    <w:bookmarkEnd w:id="31"/>
    <w:bookmarkStart w:id="32" w:name="strengths"/>
    <w:p>
      <w:pPr>
        <w:pStyle w:val="Heading2"/>
      </w:pPr>
      <w:r>
        <w:t xml:space="preserve">5. Strengths</w:t>
      </w:r>
    </w:p>
    <w:p>
      <w:pPr>
        <w:numPr>
          <w:ilvl w:val="0"/>
          <w:numId w:val="1002"/>
        </w:numPr>
        <w:pStyle w:val="Compact"/>
      </w:pPr>
      <w:r>
        <w:t xml:space="preserve">Strong technical knowledge and continuous learning mindset</w:t>
      </w:r>
    </w:p>
    <w:p>
      <w:pPr>
        <w:numPr>
          <w:ilvl w:val="0"/>
          <w:numId w:val="1002"/>
        </w:numPr>
        <w:pStyle w:val="Compact"/>
      </w:pPr>
      <w:r>
        <w:t xml:space="preserve">Excellent client communication and relationship-building skills</w:t>
      </w:r>
    </w:p>
    <w:p>
      <w:pPr>
        <w:numPr>
          <w:ilvl w:val="0"/>
          <w:numId w:val="1002"/>
        </w:numPr>
        <w:pStyle w:val="Compact"/>
      </w:pPr>
      <w:r>
        <w:t xml:space="preserve">High level of integrity and compliance awareness</w:t>
      </w:r>
    </w:p>
    <w:p>
      <w:pPr>
        <w:numPr>
          <w:ilvl w:val="0"/>
          <w:numId w:val="1002"/>
        </w:numPr>
        <w:pStyle w:val="Compact"/>
      </w:pPr>
      <w:r>
        <w:t xml:space="preserve">Effective teamwork and collaborative spirit</w:t>
      </w:r>
    </w:p>
    <w:p>
      <w:pPr>
        <w:numPr>
          <w:ilvl w:val="0"/>
          <w:numId w:val="1002"/>
        </w:numPr>
        <w:pStyle w:val="Compact"/>
      </w:pPr>
      <w:r>
        <w:t xml:space="preserve">Resilience and adaptability in a dynamic environment</w:t>
      </w:r>
    </w:p>
    <w:bookmarkEnd w:id="32"/>
    <w:bookmarkStart w:id="33" w:name="areas-for-improvement"/>
    <w:p>
      <w:pPr>
        <w:pStyle w:val="Heading2"/>
      </w:pPr>
      <w:r>
        <w:t xml:space="preserve">6. Areas for Improvement</w:t>
      </w:r>
    </w:p>
    <w:p>
      <w:pPr>
        <w:numPr>
          <w:ilvl w:val="0"/>
          <w:numId w:val="1003"/>
        </w:numPr>
        <w:pStyle w:val="Compact"/>
      </w:pPr>
      <w:r>
        <w:t xml:space="preserve">Further development in advanced financial modeling and analytics</w:t>
      </w:r>
    </w:p>
    <w:p>
      <w:pPr>
        <w:numPr>
          <w:ilvl w:val="0"/>
          <w:numId w:val="1003"/>
        </w:numPr>
        <w:pStyle w:val="Compact"/>
      </w:pPr>
      <w:r>
        <w:t xml:space="preserve">Enhanced leadership skills to mentor junior staff more effectively</w:t>
      </w:r>
    </w:p>
    <w:p>
      <w:pPr>
        <w:numPr>
          <w:ilvl w:val="0"/>
          <w:numId w:val="1003"/>
        </w:numPr>
        <w:pStyle w:val="Compact"/>
      </w:pPr>
      <w:r>
        <w:t xml:space="preserve">Increased involvement in cross-departmental initiatives to broaden impact</w:t>
      </w:r>
    </w:p>
    <w:bookmarkEnd w:id="33"/>
    <w:bookmarkStart w:id="34"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4"/>
        </w:numPr>
        <w:pStyle w:val="Compact"/>
      </w:pPr>
      <w:r>
        <w:t xml:space="preserve">Enroll in advanced training programs focused on financial analytics and emerging technologies.</w:t>
      </w:r>
    </w:p>
    <w:p>
      <w:pPr>
        <w:numPr>
          <w:ilvl w:val="0"/>
          <w:numId w:val="1004"/>
        </w:numPr>
        <w:pStyle w:val="Compact"/>
      </w:pPr>
      <w:r>
        <w:t xml:space="preserve">Take on leadership roles in team projects to develop mentoring and management capabilities.</w:t>
      </w:r>
    </w:p>
    <w:p>
      <w:pPr>
        <w:numPr>
          <w:ilvl w:val="0"/>
          <w:numId w:val="1004"/>
        </w:numPr>
        <w:pStyle w:val="Compact"/>
      </w:pPr>
      <w:r>
        <w:t xml:space="preserve">Participate in industry conferences and networking events in New York City to stay at the forefront of banking trends.</w:t>
      </w:r>
    </w:p>
    <w:bookmarkEnd w:id="34"/>
    <w:bookmarkStart w:id="35" w:name="conclusion"/>
    <w:p>
      <w:pPr>
        <w:pStyle w:val="Heading2"/>
      </w:pPr>
      <w:r>
        <w:t xml:space="preserve">8. Conclusion</w:t>
      </w:r>
    </w:p>
    <w:p>
      <w:pPr>
        <w:pStyle w:val="FirstParagraph"/>
      </w:pPr>
      <w:r>
        <w:t xml:space="preserve">The Banker under review has demonstrated a high level of professionalism, competence, and dedication throughout the evaluation period. Their contributions have positively impacted both clients and the organization, aligning well with the expectations of a banking professional in New York City, United States. With continued development in identified areas, the Banker is well-positioned for further career advancement and leadership opportunities.</w:t>
      </w:r>
    </w:p>
    <w:bookmarkEnd w:id="35"/>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2026-10-10T03:21:52Z</dcterms:created>
  <dcterms:modified xsi:type="dcterms:W3CDTF">2026-10-10T03:21:52Z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