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Role</w:t>
      </w:r>
      <w:r>
        <w:t xml:space="preserve"> </w:t>
      </w:r>
      <w:r>
        <w:t xml:space="preserve">Assessment</w:t>
      </w:r>
      <w:r>
        <w:t xml:space="preserve"> </w:t>
      </w:r>
      <w:r>
        <w:t xml:space="preserve">-</w:t>
      </w:r>
      <w:r>
        <w:t xml:space="preserve"> </w:t>
      </w:r>
      <w:r>
        <w:t xml:space="preserve">Tashkent,</w:t>
      </w:r>
      <w:r>
        <w:t xml:space="preserve"> </w:t>
      </w:r>
      <w:r>
        <w:t xml:space="preserve">Uzbekistan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Operational Performance Assessment</w:t>
      </w:r>
    </w:p>
    <w:p>
      <w:pPr>
        <w:pStyle w:val="BodyText"/>
      </w:pPr>
      <w:r>
        <w:rPr>
          <w:bCs/>
          <w:b/>
        </w:rPr>
        <w:t xml:space="preserve">Role Under Review:</w:t>
      </w:r>
      <w:r>
        <w:t xml:space="preserve"> </w:t>
      </w:r>
      <w:r>
        <w:t xml:space="preserve">Banker</w:t>
      </w:r>
    </w:p>
    <w:p>
      <w:pPr>
        <w:pStyle w:val="BodyText"/>
      </w:pPr>
      <w:r>
        <w:rPr>
          <w:bCs/>
          <w:b/>
        </w:rPr>
        <w:t xml:space="preserve">Location:</w:t>
      </w:r>
      <w:r>
        <w:t xml:space="preserve"> </w:t>
      </w:r>
      <w:r>
        <w:t xml:space="preserve">Tashkent, Uzbekistan</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conduct, technical proficiency, and strategic alignment of a Banker operating within the financial district of Tashkent, Uzbekistan. As the financial landscape in Uzbekistan undergoes significant liberalization and digital transformation, the role of the Banker has evolved beyond traditional transactional duties. This review assesses the subject's ability to navigate the specific regulatory environment of the Central Bank of Uzbekistan, manage client relationships in a culturally nuanced market, and implement modern banking standards in Tashkent's competitive sector.</w:t>
      </w:r>
    </w:p>
    <w:bookmarkEnd w:id="21"/>
    <w:bookmarkStart w:id="22" w:name="X101ecc4296dd6393e0a669a519e77b87c8106e0"/>
    <w:p>
      <w:pPr>
        <w:pStyle w:val="Heading2"/>
      </w:pPr>
      <w:r>
        <w:t xml:space="preserve">2. Regulatory Compliance and Risk Management</w:t>
      </w:r>
    </w:p>
    <w:p>
      <w:pPr>
        <w:pStyle w:val="FirstParagraph"/>
      </w:pPr>
      <w:r>
        <w:t xml:space="preserve">A critical component of this Peer Review Report is the assessment of the Banker's adherence to local and international regulations. In Tashkent, the banking sector is heavily regulated by the Central Bank of Uzbekistan to ensure stability and prevent financial crimes. The Banker under review has demonstrated a robust understanding of the "Law on Banks and Banking Activity" and the specific directives regarding Anti-Money Laundering (AML) and Counter-Terrorist Financing (CTF).</w:t>
      </w:r>
    </w:p>
    <w:p>
      <w:pPr>
        <w:pStyle w:val="BodyText"/>
      </w:pPr>
      <w:r>
        <w:t xml:space="preserve">During the review period, the Banker successfully implemented enhanced due diligence procedures for high-net-worth clients, a requirement that has become increasingly stringent in Uzbekistan. The subject showed particular diligence in verifying the source of funds for cross-border transactions, which is vital given the country's ongoing efforts to integrate with global financial systems. However, the report notes that while compliance is strong, the Banker should further streamline documentation processes to reduce friction for legitimate clients without compromising security protocols.</w:t>
      </w:r>
    </w:p>
    <w:bookmarkEnd w:id="22"/>
    <w:bookmarkStart w:id="23" w:name="X193e9644bd22569c702ac624b25a4cefcf3b628"/>
    <w:p>
      <w:pPr>
        <w:pStyle w:val="Heading2"/>
      </w:pPr>
      <w:r>
        <w:t xml:space="preserve">3. Technical Proficiency and Digital Adaptation</w:t>
      </w:r>
    </w:p>
    <w:p>
      <w:pPr>
        <w:pStyle w:val="FirstParagraph"/>
      </w:pPr>
      <w:r>
        <w:t xml:space="preserve">The financial ecosystem in Tashkent is rapidly digitizing. This Peer Review Report highlights the Banker's proficiency with modern banking technologies. The subject has effectively utilized the national payment systems and mobile banking platforms that are ubiquitous in Uzbekistan today. The Banker demonstrated competence in guiding clients through digital onboarding processes, reflecting the national push toward a cashless society.</w:t>
      </w:r>
    </w:p>
    <w:p>
      <w:pPr>
        <w:pStyle w:val="BodyText"/>
      </w:pPr>
      <w:r>
        <w:t xml:space="preserve">Furthermore, the Banker's ability to analyze financial data using contemporary software tools was evaluated. The subject provided accurate credit risk assessments for small and medium-sized enterprises (SMEs), a key demographic in Tashkent's growing economy. The review confirms that the Banker is technically sound but recommends additional training in fintech integration to better serve the tech-savvy demographic emerging in the capital city.</w:t>
      </w:r>
    </w:p>
    <w:bookmarkEnd w:id="23"/>
    <w:bookmarkStart w:id="24" w:name="Xba7c7da55c1180105eabbcfab073bcacf92f62b"/>
    <w:p>
      <w:pPr>
        <w:pStyle w:val="Heading2"/>
      </w:pPr>
      <w:r>
        <w:t xml:space="preserve">4. Client Relationship Management and Cultural Competence</w:t>
      </w:r>
    </w:p>
    <w:p>
      <w:pPr>
        <w:pStyle w:val="FirstParagraph"/>
      </w:pPr>
      <w:r>
        <w:t xml:space="preserve">Operating as a Banker in Uzbekistan requires a deep understanding of local business culture. This Peer Review Report emphasizes the subject's interpersonal skills. The Banker has cultivated strong relationships with both individual retail clients and corporate entities in Tashkent. The subject's bilingual capabilities (Uzbek and Russian, with functional English) have been instrumental in bridging communication gaps with diverse stakeholders.</w:t>
      </w:r>
    </w:p>
    <w:p>
      <w:pPr>
        <w:pStyle w:val="BodyText"/>
      </w:pPr>
      <w:r>
        <w:t xml:space="preserve">The review notes that the Banker excels in building trust, which is paramount in the Uzbek market. However, there is an opportunity to improve responsiveness during peak business hours. The subject should adopt more proactive communication strategies to maintain client satisfaction amidst the high volume of transactions typical in Tashkent's financial hubs.</w:t>
      </w:r>
    </w:p>
    <w:bookmarkEnd w:id="24"/>
    <w:bookmarkStart w:id="25" w:name="X684d508df160db43f9f921ff0ba7b1dbf3c6be3"/>
    <w:p>
      <w:pPr>
        <w:pStyle w:val="Heading2"/>
      </w:pPr>
      <w:r>
        <w:t xml:space="preserve">5. Strategic Alignment and Economic Contribution</w:t>
      </w:r>
    </w:p>
    <w:p>
      <w:pPr>
        <w:pStyle w:val="FirstParagraph"/>
      </w:pPr>
      <w:r>
        <w:t xml:space="preserve">Finally, this Peer Review Report evaluates how the Banker's activities align with the broader economic goals of Uzbekistan. The subject has actively promoted financial literacy among clients, supporting the national agenda of financial inclusion. By offering tailored financial products that support local entrepreneurship, the Banker contributes positively to the economic development of Tashkent.</w:t>
      </w:r>
    </w:p>
    <w:p>
      <w:pPr>
        <w:pStyle w:val="BodyText"/>
      </w:pPr>
      <w:r>
        <w:t xml:space="preserve">The subject's performance reflects a commitment to the stability and growth of the banking sector in Uzbekistan. The Banker has shown resilience in adapting to currency fluctuations and interest rate changes, providing sound advice to clients navigating these economic variables.</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Banker under review is a competent and valuable asset to the financial institution in Tashkent, Uzbekistan. The subject demonstrates strong regulatory compliance, technical adaptability, and cultural intelligence. To further enhance performance, the following recommendations are made:</w:t>
      </w:r>
    </w:p>
    <w:p>
      <w:pPr>
        <w:numPr>
          <w:ilvl w:val="0"/>
          <w:numId w:val="1001"/>
        </w:numPr>
        <w:pStyle w:val="Compact"/>
      </w:pPr>
      <w:r>
        <w:t xml:space="preserve">Engage in advanced training regarding international fintech standards.</w:t>
      </w:r>
    </w:p>
    <w:p>
      <w:pPr>
        <w:numPr>
          <w:ilvl w:val="0"/>
          <w:numId w:val="1001"/>
        </w:numPr>
        <w:pStyle w:val="Compact"/>
      </w:pPr>
      <w:r>
        <w:t xml:space="preserve">Optimize client communication workflows to improve response times.</w:t>
      </w:r>
    </w:p>
    <w:p>
      <w:pPr>
        <w:numPr>
          <w:ilvl w:val="0"/>
          <w:numId w:val="1001"/>
        </w:numPr>
        <w:pStyle w:val="Compact"/>
      </w:pPr>
      <w:r>
        <w:t xml:space="preserve">Deepen expertise in Islamic banking products, which are gaining traction in Uzbekistan.</w:t>
      </w:r>
    </w:p>
    <w:p>
      <w:pPr>
        <w:pStyle w:val="FirstParagraph"/>
      </w:pPr>
      <w:r>
        <w:t xml:space="preserve">Overall, the Banker meets the high standards required for the dynamic financial environment of Tashkent.</w:t>
      </w:r>
    </w:p>
    <w:bookmarkEnd w:id="26"/>
    <w:p>
      <w:pPr>
        <w:pStyle w:val="BodyText"/>
      </w:pPr>
      <w:r>
        <w:rPr>
          <w:bCs/>
          <w:b/>
        </w:rPr>
        <w:t xml:space="preserve">Reviewed By:</w:t>
      </w:r>
      <w:r>
        <w:t xml:space="preserve"> </w:t>
      </w:r>
      <w:r>
        <w:t xml:space="preserve">Senior Compliance Officer</w:t>
      </w:r>
    </w:p>
    <w:p>
      <w:pPr>
        <w:pStyle w:val="BodyText"/>
      </w:pPr>
      <w:r>
        <w:rPr>
          <w:bCs/>
          <w:b/>
        </w:rPr>
        <w:t xml:space="preserve">Department:</w:t>
      </w:r>
      <w:r>
        <w:t xml:space="preserve"> </w:t>
      </w:r>
      <w:r>
        <w:t xml:space="preserve">Internal Audit &amp; Risk Management</w:t>
      </w:r>
    </w:p>
    <w:p>
      <w:pPr>
        <w:pStyle w:val="BodyText"/>
      </w:pPr>
      <w:r>
        <w:rPr>
          <w:bCs/>
          <w:b/>
        </w:rPr>
        <w:t xml:space="preserve">Location:</w:t>
      </w:r>
      <w:r>
        <w:t xml:space="preserve"> </w:t>
      </w:r>
      <w:r>
        <w:t xml:space="preserve">Tashkent, Uzbekistan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Role Assessment - Tashkent, Uzbekistan</dc:title>
  <dc:creator/>
  <dc:language>en</dc:language>
  <cp:keywords/>
  <dcterms:created xsi:type="dcterms:W3CDTF">2026-10-10T07:24:41Z</dcterms:created>
  <dcterms:modified xsi:type="dcterms:W3CDTF">2026-10-10T07:24:41Z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