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t xml:space="preserve">Professional Evaluation of Banking Operations and Compliance</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Venezuela Caracas</w:t>
      </w:r>
    </w:p>
    <w:p>
      <w:pPr>
        <w:pStyle w:val="BodyText"/>
      </w:pPr>
      <w:r>
        <w:rPr>
          <w:bCs/>
          <w:b/>
        </w:rPr>
        <w:t xml:space="preserve">Subject:</w:t>
      </w:r>
      <w:r>
        <w:t xml:space="preserve"> </w:t>
      </w:r>
      <w:r>
        <w:t xml:space="preserve">Senior Banker Performance Review</w:t>
      </w:r>
    </w:p>
    <w:p>
      <w:pPr>
        <w:pStyle w:val="BodyText"/>
      </w:pPr>
      <w:r>
        <w:rPr>
          <w:bCs/>
          <w:b/>
        </w:rPr>
        <w:t xml:space="preserve">Review Period:</w:t>
      </w:r>
      <w:r>
        <w:t xml:space="preserve"> </w:t>
      </w:r>
      <w:r>
        <w:t xml:space="preserve">Q3 2023</w:t>
      </w:r>
    </w:p>
    <w:p>
      <w:pPr>
        <w:pStyle w:val="BodyText"/>
      </w:pPr>
      <w:r>
        <w:rPr>
          <w:bCs/>
          <w:b/>
        </w:rPr>
        <w:t xml:space="preserve">Reviewer:</w:t>
      </w:r>
      <w:r>
        <w:t xml:space="preserve"> </w:t>
      </w:r>
      <w:r>
        <w:t xml:space="preserve">Internal Audit &amp; Compliance Committee</w:t>
      </w:r>
    </w:p>
    <w:p>
      <w:pPr>
        <w:pStyle w:val="BodyText"/>
      </w:pPr>
      <w:r>
        <w:rPr>
          <w:bCs/>
          <w:b/>
        </w:rPr>
        <w:t xml:space="preserve">Classification:</w:t>
      </w:r>
      <w:r>
        <w:t xml:space="preserve"> </w:t>
      </w:r>
      <w:r>
        <w:t xml:space="preserve">Confidential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performance, operational efficiency, and regulatory compliance of a designated</w:t>
      </w:r>
      <w:r>
        <w:t xml:space="preserve"> </w:t>
      </w:r>
      <w:r>
        <w:rPr>
          <w:bCs/>
          <w:b/>
        </w:rPr>
        <w:t xml:space="preserve">Banker</w:t>
      </w:r>
      <w:r>
        <w:t xml:space="preserve"> </w:t>
      </w:r>
      <w:r>
        <w:t xml:space="preserve">operating within the financial district of</w:t>
      </w:r>
      <w:r>
        <w:t xml:space="preserve"> </w:t>
      </w:r>
      <w:r>
        <w:rPr>
          <w:bCs/>
          <w:b/>
        </w:rPr>
        <w:t xml:space="preserve">Venezuela Caracas</w:t>
      </w:r>
      <w:r>
        <w:t xml:space="preserve">. The review focuses on the individual's ability to navigate the complex economic landscape of the region while maintaining strict adherence to international banking standards and local regulations set forth by the Central Bank of Venezuela (BCV).</w:t>
      </w:r>
    </w:p>
    <w:p>
      <w:pPr>
        <w:pStyle w:val="BodyText"/>
      </w:pPr>
      <w:r>
        <w:t xml:space="preserve">The assessment covers critical areas including client relationship management, risk mitigation strategies, currency exchange protocols, and digital banking integration. Given the unique economic volatility in</w:t>
      </w:r>
      <w:r>
        <w:t xml:space="preserve"> </w:t>
      </w:r>
      <w:r>
        <w:rPr>
          <w:bCs/>
          <w:b/>
        </w:rPr>
        <w:t xml:space="preserve">Venezuela Caracas</w:t>
      </w:r>
      <w:r>
        <w:t xml:space="preserve">, this report places significant emphasis on the</w:t>
      </w:r>
      <w:r>
        <w:t xml:space="preserve"> </w:t>
      </w:r>
      <w:r>
        <w:rPr>
          <w:bCs/>
          <w:b/>
        </w:rPr>
        <w:t xml:space="preserve">Banker</w:t>
      </w:r>
      <w:r>
        <w:t xml:space="preserve">'s adaptability and ethical decision-making processes during periods of financial uncertainty.</w:t>
      </w:r>
    </w:p>
    <w:bookmarkEnd w:id="21"/>
    <w:bookmarkStart w:id="22" w:name="X7a096320a63f607ed502d02e2602717e7121102"/>
    <w:p>
      <w:pPr>
        <w:pStyle w:val="Heading2"/>
      </w:pPr>
      <w:r>
        <w:t xml:space="preserve">2. Operational Performance and Client Management</w:t>
      </w:r>
    </w:p>
    <w:p>
      <w:pPr>
        <w:pStyle w:val="FirstParagraph"/>
      </w:pPr>
      <w:r>
        <w:t xml:space="preserve">The</w:t>
      </w:r>
      <w:r>
        <w:t xml:space="preserve"> </w:t>
      </w:r>
      <w:r>
        <w:rPr>
          <w:bCs/>
          <w:b/>
        </w:rPr>
        <w:t xml:space="preserve">Banker</w:t>
      </w:r>
      <w:r>
        <w:t xml:space="preserve"> </w:t>
      </w:r>
      <w:r>
        <w:t xml:space="preserve">has demonstrated a high level of competence in managing client portfolios within the</w:t>
      </w:r>
      <w:r>
        <w:t xml:space="preserve"> </w:t>
      </w:r>
      <w:r>
        <w:rPr>
          <w:bCs/>
          <w:b/>
        </w:rPr>
        <w:t xml:space="preserve">Venezuela Caracas</w:t>
      </w:r>
      <w:r>
        <w:t xml:space="preserve"> </w:t>
      </w:r>
      <w:r>
        <w:t xml:space="preserve">market. The review indicates that the subject has successfully maintained client trust despite the challenging macroeconomic environment. Key observations include:</w:t>
      </w:r>
    </w:p>
    <w:p>
      <w:pPr>
        <w:numPr>
          <w:ilvl w:val="0"/>
          <w:numId w:val="1001"/>
        </w:numPr>
        <w:pStyle w:val="Compact"/>
      </w:pPr>
      <w:r>
        <w:rPr>
          <w:bCs/>
          <w:b/>
        </w:rPr>
        <w:t xml:space="preserve">Client Retention:</w:t>
      </w:r>
      <w:r>
        <w:t xml:space="preserve"> </w:t>
      </w:r>
      <w:r>
        <w:t xml:space="preserve">The</w:t>
      </w:r>
      <w:r>
        <w:t xml:space="preserve"> </w:t>
      </w:r>
      <w:r>
        <w:rPr>
          <w:bCs/>
          <w:b/>
        </w:rPr>
        <w:t xml:space="preserve">Banker</w:t>
      </w:r>
      <w:r>
        <w:t xml:space="preserve"> </w:t>
      </w:r>
      <w:r>
        <w:t xml:space="preserve">has implemented effective communication strategies to keep clients informed about market fluctuations, resulting in a 15% increase in client retention rates compared to the previous quarter.</w:t>
      </w:r>
    </w:p>
    <w:p>
      <w:pPr>
        <w:numPr>
          <w:ilvl w:val="0"/>
          <w:numId w:val="1001"/>
        </w:numPr>
        <w:pStyle w:val="Compact"/>
      </w:pPr>
      <w:r>
        <w:rPr>
          <w:bCs/>
          <w:b/>
        </w:rPr>
        <w:t xml:space="preserve">Advisory Services:</w:t>
      </w:r>
      <w:r>
        <w:t xml:space="preserve"> </w:t>
      </w:r>
      <w:r>
        <w:t xml:space="preserve">Demonstrated strong capability in providing financial advisory services tailored to the specific needs of businesses and individuals in</w:t>
      </w:r>
      <w:r>
        <w:t xml:space="preserve"> </w:t>
      </w:r>
      <w:r>
        <w:rPr>
          <w:bCs/>
          <w:b/>
        </w:rPr>
        <w:t xml:space="preserve">Venezuela Caracas</w:t>
      </w:r>
      <w:r>
        <w:t xml:space="preserve">, particularly regarding inflation hedging and asset protection.</w:t>
      </w:r>
    </w:p>
    <w:p>
      <w:pPr>
        <w:numPr>
          <w:ilvl w:val="0"/>
          <w:numId w:val="1001"/>
        </w:numPr>
        <w:pStyle w:val="Compact"/>
      </w:pPr>
      <w:r>
        <w:rPr>
          <w:bCs/>
          <w:b/>
        </w:rPr>
        <w:t xml:space="preserve">Service Efficiency:</w:t>
      </w:r>
      <w:r>
        <w:t xml:space="preserve"> </w:t>
      </w:r>
      <w:r>
        <w:t xml:space="preserve">Transaction processing times have been optimized, reducing client wait times by 20% through better workflow management and staff coordination.</w:t>
      </w:r>
    </w:p>
    <w:p>
      <w:pPr>
        <w:pStyle w:val="FirstParagraph"/>
      </w:pPr>
      <w:r>
        <w:t xml:space="preserve">However, the</w:t>
      </w:r>
      <w:r>
        <w:t xml:space="preserve"> </w:t>
      </w:r>
      <w:r>
        <w:rPr>
          <w:bCs/>
          <w:b/>
        </w:rPr>
        <w:t xml:space="preserve">Peer Review Report</w:t>
      </w:r>
      <w:r>
        <w:t xml:space="preserve"> </w:t>
      </w:r>
      <w:r>
        <w:t xml:space="preserve">notes that there is room for improvement in handling high-volume transaction periods, where occasional delays were observed during peak hours in the Caracas branch.</w:t>
      </w:r>
    </w:p>
    <w:bookmarkEnd w:id="22"/>
    <w:bookmarkStart w:id="23" w:name="X101ecc4296dd6393e0a669a519e77b87c8106e0"/>
    <w:p>
      <w:pPr>
        <w:pStyle w:val="Heading2"/>
      </w:pPr>
      <w:r>
        <w:t xml:space="preserve">3. Regulatory Compliance and Risk Management</w:t>
      </w:r>
    </w:p>
    <w:p>
      <w:pPr>
        <w:pStyle w:val="FirstParagraph"/>
      </w:pPr>
      <w:r>
        <w:t xml:space="preserve">Compliance with local and international regulations is paramount for any</w:t>
      </w:r>
      <w:r>
        <w:t xml:space="preserve"> </w:t>
      </w:r>
      <w:r>
        <w:rPr>
          <w:bCs/>
          <w:b/>
        </w:rPr>
        <w:t xml:space="preserve">Banker</w:t>
      </w:r>
      <w:r>
        <w:t xml:space="preserve"> </w:t>
      </w:r>
      <w:r>
        <w:t xml:space="preserve">operating in</w:t>
      </w:r>
      <w:r>
        <w:t xml:space="preserve"> </w:t>
      </w:r>
      <w:r>
        <w:rPr>
          <w:bCs/>
          <w:b/>
        </w:rPr>
        <w:t xml:space="preserve">Venezuela Caracas</w:t>
      </w:r>
      <w:r>
        <w:t xml:space="preserve">. This section of the</w:t>
      </w:r>
      <w:r>
        <w:t xml:space="preserve"> </w:t>
      </w:r>
      <w:r>
        <w:rPr>
          <w:bCs/>
          <w:b/>
        </w:rPr>
        <w:t xml:space="preserve">Peer Review Report</w:t>
      </w:r>
      <w:r>
        <w:t xml:space="preserve"> </w:t>
      </w:r>
      <w:r>
        <w:t xml:space="preserve">evaluates the subject's adherence to anti-money laundering (AML) protocols, know-your-customer (KYC) requirements, and sanctions compliance.</w:t>
      </w:r>
    </w:p>
    <w:p>
      <w:pPr>
        <w:pStyle w:val="BodyText"/>
      </w:pPr>
      <w:r>
        <w:rPr>
          <w:bCs/>
          <w:b/>
        </w:rPr>
        <w:t xml:space="preserve">Key Finding:</w:t>
      </w:r>
      <w:r>
        <w:t xml:space="preserve"> </w:t>
      </w:r>
      <w:r>
        <w:t xml:space="preserve">The</w:t>
      </w:r>
      <w:r>
        <w:t xml:space="preserve"> </w:t>
      </w:r>
      <w:r>
        <w:rPr>
          <w:bCs/>
          <w:b/>
        </w:rPr>
        <w:t xml:space="preserve">Banker</w:t>
      </w:r>
      <w:r>
        <w:t xml:space="preserve"> </w:t>
      </w:r>
      <w:r>
        <w:t xml:space="preserve">has consistently followed BCV guidelines regarding currency controls and foreign exchange transactions. All reviewed files showed proper documentation and justification for cross-border transfers.</w:t>
      </w:r>
    </w:p>
    <w:p>
      <w:pPr>
        <w:pStyle w:val="BodyText"/>
      </w:pPr>
      <w:r>
        <w:t xml:space="preserve">The review highlights the following strengths and areas for development:</w:t>
      </w:r>
    </w:p>
    <w:p>
      <w:pPr>
        <w:numPr>
          <w:ilvl w:val="0"/>
          <w:numId w:val="1002"/>
        </w:numPr>
        <w:pStyle w:val="Compact"/>
      </w:pPr>
      <w:r>
        <w:rPr>
          <w:bCs/>
          <w:b/>
        </w:rPr>
        <w:t xml:space="preserve">AML Protocols:</w:t>
      </w:r>
      <w:r>
        <w:t xml:space="preserve"> </w:t>
      </w:r>
      <w:r>
        <w:t xml:space="preserve">The</w:t>
      </w:r>
      <w:r>
        <w:t xml:space="preserve"> </w:t>
      </w:r>
      <w:r>
        <w:rPr>
          <w:bCs/>
          <w:b/>
        </w:rPr>
        <w:t xml:space="preserve">Banker</w:t>
      </w:r>
      <w:r>
        <w:t xml:space="preserve"> </w:t>
      </w:r>
      <w:r>
        <w:t xml:space="preserve">has effectively identified and reported suspicious activities, demonstrating a proactive approach to financial crime prevention.</w:t>
      </w:r>
    </w:p>
    <w:p>
      <w:pPr>
        <w:numPr>
          <w:ilvl w:val="0"/>
          <w:numId w:val="1002"/>
        </w:numPr>
        <w:pStyle w:val="Compact"/>
      </w:pPr>
      <w:r>
        <w:rPr>
          <w:bCs/>
          <w:b/>
        </w:rPr>
        <w:t xml:space="preserve">Documentation:</w:t>
      </w:r>
      <w:r>
        <w:t xml:space="preserve"> </w:t>
      </w:r>
      <w:r>
        <w:t xml:space="preserve">Client files are well-organized and up-to-date, ensuring readiness for internal and external audits.</w:t>
      </w:r>
    </w:p>
    <w:p>
      <w:pPr>
        <w:numPr>
          <w:ilvl w:val="0"/>
          <w:numId w:val="1002"/>
        </w:numPr>
        <w:pStyle w:val="Compact"/>
      </w:pPr>
      <w:r>
        <w:rPr>
          <w:bCs/>
          <w:b/>
        </w:rPr>
        <w:t xml:space="preserve">Area for Improvement:</w:t>
      </w:r>
      <w:r>
        <w:t xml:space="preserve"> </w:t>
      </w:r>
      <w:r>
        <w:t xml:space="preserve">The</w:t>
      </w:r>
      <w:r>
        <w:t xml:space="preserve"> </w:t>
      </w:r>
      <w:r>
        <w:rPr>
          <w:bCs/>
          <w:b/>
        </w:rPr>
        <w:t xml:space="preserve">Peer Review Report</w:t>
      </w:r>
      <w:r>
        <w:t xml:space="preserve"> </w:t>
      </w:r>
      <w:r>
        <w:t xml:space="preserve">recommends additional training on emerging digital currency regulations, as the use of cryptocurrencies is becoming increasingly prevalent in</w:t>
      </w:r>
      <w:r>
        <w:t xml:space="preserve"> </w:t>
      </w:r>
      <w:r>
        <w:rPr>
          <w:bCs/>
          <w:b/>
        </w:rPr>
        <w:t xml:space="preserve">Venezuela Caracas</w:t>
      </w:r>
      <w:r>
        <w:t xml:space="preserve">.</w:t>
      </w:r>
    </w:p>
    <w:bookmarkEnd w:id="23"/>
    <w:bookmarkStart w:id="24" w:name="adaptability-to-economic-conditions"/>
    <w:p>
      <w:pPr>
        <w:pStyle w:val="Heading2"/>
      </w:pPr>
      <w:r>
        <w:t xml:space="preserve">4. Adaptability to Economic Conditions</w:t>
      </w:r>
    </w:p>
    <w:p>
      <w:pPr>
        <w:pStyle w:val="FirstParagraph"/>
      </w:pPr>
      <w:r>
        <w:t xml:space="preserve">Operating as a</w:t>
      </w:r>
      <w:r>
        <w:t xml:space="preserve"> </w:t>
      </w:r>
      <w:r>
        <w:rPr>
          <w:bCs/>
          <w:b/>
        </w:rPr>
        <w:t xml:space="preserve">Banker</w:t>
      </w:r>
      <w:r>
        <w:t xml:space="preserve"> </w:t>
      </w:r>
      <w:r>
        <w:t xml:space="preserve">in</w:t>
      </w:r>
      <w:r>
        <w:t xml:space="preserve"> </w:t>
      </w:r>
      <w:r>
        <w:rPr>
          <w:bCs/>
          <w:b/>
        </w:rPr>
        <w:t xml:space="preserve">Venezuela Caracas</w:t>
      </w:r>
      <w:r>
        <w:t xml:space="preserve"> </w:t>
      </w:r>
      <w:r>
        <w:t xml:space="preserve">requires exceptional adaptability due to the region's economic volatility. This</w:t>
      </w:r>
      <w:r>
        <w:t xml:space="preserve"> </w:t>
      </w:r>
      <w:r>
        <w:rPr>
          <w:bCs/>
          <w:b/>
        </w:rPr>
        <w:t xml:space="preserve">Peer Review Report</w:t>
      </w:r>
      <w:r>
        <w:t xml:space="preserve"> </w:t>
      </w:r>
      <w:r>
        <w:t xml:space="preserve">assesses how the subject has responded to recent economic changes, including inflation rates, currency devaluation, and shifts in monetary policy.</w:t>
      </w:r>
    </w:p>
    <w:p>
      <w:pPr>
        <w:pStyle w:val="BodyText"/>
      </w:pPr>
      <w:r>
        <w:t xml:space="preserve">The</w:t>
      </w:r>
      <w:r>
        <w:t xml:space="preserve"> </w:t>
      </w:r>
      <w:r>
        <w:rPr>
          <w:bCs/>
          <w:b/>
        </w:rPr>
        <w:t xml:space="preserve">Banker</w:t>
      </w:r>
      <w:r>
        <w:t xml:space="preserve"> </w:t>
      </w:r>
      <w:r>
        <w:t xml:space="preserve">has shown commendable resilience by:</w:t>
      </w:r>
    </w:p>
    <w:p>
      <w:pPr>
        <w:numPr>
          <w:ilvl w:val="0"/>
          <w:numId w:val="1003"/>
        </w:numPr>
        <w:pStyle w:val="Compact"/>
      </w:pPr>
      <w:r>
        <w:t xml:space="preserve">Developing flexible financial products that allow clients to manage their assets in multiple currencies.</w:t>
      </w:r>
    </w:p>
    <w:p>
      <w:pPr>
        <w:numPr>
          <w:ilvl w:val="0"/>
          <w:numId w:val="1003"/>
        </w:numPr>
        <w:pStyle w:val="Compact"/>
      </w:pPr>
      <w:r>
        <w:t xml:space="preserve">Collaborating with the risk management team to adjust credit policies in response to changing economic indicators.</w:t>
      </w:r>
    </w:p>
    <w:p>
      <w:pPr>
        <w:numPr>
          <w:ilvl w:val="0"/>
          <w:numId w:val="1003"/>
        </w:numPr>
        <w:pStyle w:val="Compact"/>
      </w:pPr>
      <w:r>
        <w:t xml:space="preserve">Providing timely updates to clients regarding regulatory changes that may impact their financial positions.</w:t>
      </w:r>
    </w:p>
    <w:p>
      <w:pPr>
        <w:pStyle w:val="FirstParagraph"/>
      </w:pPr>
      <w:r>
        <w:t xml:space="preserve">The review concludes that the</w:t>
      </w:r>
      <w:r>
        <w:t xml:space="preserve"> </w:t>
      </w:r>
      <w:r>
        <w:rPr>
          <w:bCs/>
          <w:b/>
        </w:rPr>
        <w:t xml:space="preserve">Banker</w:t>
      </w:r>
      <w:r>
        <w:t xml:space="preserve">'s ability to remain calm and strategic during economic turbulence has been a significant asset to the institution.</w:t>
      </w:r>
    </w:p>
    <w:bookmarkEnd w:id="24"/>
    <w:bookmarkStart w:id="25" w:name="X995062f2f290b472dbcb77c2f9c018041727d15"/>
    <w:p>
      <w:pPr>
        <w:pStyle w:val="Heading2"/>
      </w:pPr>
      <w:r>
        <w:t xml:space="preserve">5. Digital Banking and Technological Integration</w:t>
      </w:r>
    </w:p>
    <w:p>
      <w:pPr>
        <w:pStyle w:val="FirstParagraph"/>
      </w:pPr>
      <w:r>
        <w:t xml:space="preserve">The financial sector in</w:t>
      </w:r>
      <w:r>
        <w:t xml:space="preserve"> </w:t>
      </w:r>
      <w:r>
        <w:rPr>
          <w:bCs/>
          <w:b/>
        </w:rPr>
        <w:t xml:space="preserve">Venezuela Caracas</w:t>
      </w:r>
      <w:r>
        <w:t xml:space="preserve"> </w:t>
      </w:r>
      <w:r>
        <w:t xml:space="preserve">is increasingly moving towards digital solutions. This</w:t>
      </w:r>
      <w:r>
        <w:t xml:space="preserve"> </w:t>
      </w:r>
      <w:r>
        <w:rPr>
          <w:bCs/>
          <w:b/>
        </w:rPr>
        <w:t xml:space="preserve">Peer Review Report</w:t>
      </w:r>
      <w:r>
        <w:t xml:space="preserve"> </w:t>
      </w:r>
      <w:r>
        <w:t xml:space="preserve">evaluates the</w:t>
      </w:r>
      <w:r>
        <w:t xml:space="preserve"> </w:t>
      </w:r>
      <w:r>
        <w:rPr>
          <w:bCs/>
          <w:b/>
        </w:rPr>
        <w:t xml:space="preserve">Banker</w:t>
      </w:r>
      <w:r>
        <w:t xml:space="preserve">'s role in promoting and managing digital banking services.</w:t>
      </w:r>
    </w:p>
    <w:p>
      <w:pPr>
        <w:pStyle w:val="BodyText"/>
      </w:pPr>
      <w:r>
        <w:t xml:space="preserve">The subject has actively encouraged clients to adopt mobile banking and online transaction platforms, resulting in a 25% increase in digital channel usage. The</w:t>
      </w:r>
      <w:r>
        <w:t xml:space="preserve"> </w:t>
      </w:r>
      <w:r>
        <w:rPr>
          <w:bCs/>
          <w:b/>
        </w:rPr>
        <w:t xml:space="preserve">Banker</w:t>
      </w:r>
      <w:r>
        <w:t xml:space="preserve"> </w:t>
      </w:r>
      <w:r>
        <w:t xml:space="preserve">has also provided training to branch staff on new technological tools, ensuring a smooth transition for both employees and customers.</w:t>
      </w:r>
    </w:p>
    <w:p>
      <w:pPr>
        <w:pStyle w:val="BodyText"/>
      </w:pPr>
      <w:r>
        <w:t xml:space="preserve">However, the report notes that cybersecurity awareness training should be reinforced, as the rise in digital banking also brings increased risks of cyber threats.</w:t>
      </w:r>
    </w:p>
    <w:bookmarkEnd w:id="25"/>
    <w:bookmarkStart w:id="26"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Banker</w:t>
      </w:r>
      <w:r>
        <w:t xml:space="preserve"> </w:t>
      </w:r>
      <w:r>
        <w:t xml:space="preserve">operating in</w:t>
      </w:r>
      <w:r>
        <w:t xml:space="preserve"> </w:t>
      </w:r>
      <w:r>
        <w:rPr>
          <w:bCs/>
          <w:b/>
        </w:rPr>
        <w:t xml:space="preserve">Venezuela Caracas</w:t>
      </w:r>
      <w:r>
        <w:t xml:space="preserve">:</w:t>
      </w:r>
    </w:p>
    <w:p>
      <w:pPr>
        <w:numPr>
          <w:ilvl w:val="0"/>
          <w:numId w:val="1004"/>
        </w:numPr>
        <w:pStyle w:val="Compact"/>
      </w:pPr>
      <w:r>
        <w:t xml:space="preserve">Enroll in advanced training programs focused on digital currency regulations and cybersecurity best practices.</w:t>
      </w:r>
    </w:p>
    <w:p>
      <w:pPr>
        <w:numPr>
          <w:ilvl w:val="0"/>
          <w:numId w:val="1004"/>
        </w:numPr>
        <w:pStyle w:val="Compact"/>
      </w:pPr>
      <w:r>
        <w:t xml:space="preserve">Implement additional staff training to improve service efficiency during high-volume transaction periods.</w:t>
      </w:r>
    </w:p>
    <w:p>
      <w:pPr>
        <w:numPr>
          <w:ilvl w:val="0"/>
          <w:numId w:val="1004"/>
        </w:numPr>
        <w:pStyle w:val="Compact"/>
      </w:pPr>
      <w:r>
        <w:t xml:space="preserve">Continue to develop innovative financial products that address the unique needs of clients in the Venezuelan market.</w:t>
      </w:r>
    </w:p>
    <w:p>
      <w:pPr>
        <w:numPr>
          <w:ilvl w:val="0"/>
          <w:numId w:val="1004"/>
        </w:numPr>
        <w:pStyle w:val="Compact"/>
      </w:pPr>
      <w:r>
        <w:t xml:space="preserve">Strengthen collaboration with the compliance team to stay ahead of evolving regulatory requirements.</w:t>
      </w:r>
    </w:p>
    <w:p>
      <w:pPr>
        <w:pStyle w:val="FirstParagraph"/>
      </w:pPr>
      <w:r>
        <w:t xml:space="preserve">In conclusion, the</w:t>
      </w:r>
      <w:r>
        <w:t xml:space="preserve"> </w:t>
      </w:r>
      <w:r>
        <w:rPr>
          <w:bCs/>
          <w:b/>
        </w:rPr>
        <w:t xml:space="preserve">Banker</w:t>
      </w:r>
      <w:r>
        <w:t xml:space="preserve"> </w:t>
      </w:r>
      <w:r>
        <w:t xml:space="preserve">has demonstrated strong professional competence, ethical integrity, and adaptability in the challenging environment of</w:t>
      </w:r>
      <w:r>
        <w:t xml:space="preserve"> </w:t>
      </w:r>
      <w:r>
        <w:rPr>
          <w:bCs/>
          <w:b/>
        </w:rPr>
        <w:t xml:space="preserve">Venezuela Caracas</w:t>
      </w:r>
      <w:r>
        <w:t xml:space="preserve">. This</w:t>
      </w:r>
      <w:r>
        <w:t xml:space="preserve"> </w:t>
      </w:r>
      <w:r>
        <w:rPr>
          <w:bCs/>
          <w:b/>
        </w:rPr>
        <w:t xml:space="preserve">Peer Review Report</w:t>
      </w:r>
      <w:r>
        <w:t xml:space="preserve"> </w:t>
      </w:r>
      <w:r>
        <w:t xml:space="preserve">affirms the subject's value to the institution and recommends continued support and development opportunities to further enhance their performance.</w:t>
      </w:r>
    </w:p>
    <w:bookmarkEnd w:id="26"/>
    <w:p>
      <w:pPr>
        <w:pStyle w:val="BodyText"/>
      </w:pPr>
      <w:r>
        <w:rPr>
          <w:bCs/>
          <w:b/>
        </w:rPr>
        <w:t xml:space="preserve">Reviewed By:</w:t>
      </w:r>
    </w:p>
    <w:p>
      <w:pPr>
        <w:pStyle w:val="BodyText"/>
      </w:pPr>
      <w:r>
        <w:t xml:space="preserve">Internal Audit Committee Chair</w:t>
      </w:r>
    </w:p>
    <w:p>
      <w:pPr>
        <w:pStyle w:val="BodyText"/>
      </w:pPr>
      <w:r>
        <w:rPr>
          <w:bCs/>
          <w:b/>
        </w:rPr>
        <w:t xml:space="preserve">Acknowledged By:</w:t>
      </w:r>
    </w:p>
    <w:p>
      <w:pPr>
        <w:pStyle w:val="BodyText"/>
      </w:pPr>
      <w:r>
        <w:t xml:space="preserve">Senior Banker, Venezuela Caracas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in Venezuela Caracas</dc:title>
  <dc:creator/>
  <dc:language>en</dc:language>
  <cp:keywords/>
  <dcterms:created xsi:type="dcterms:W3CDTF">2026-10-10T04:36:15Z</dcterms:created>
  <dcterms:modified xsi:type="dcterms:W3CDTF">2026-10-10T04:36:15Z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