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Russia Moscow</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p>
    <w:p>
      <w:pPr>
        <w:pStyle w:val="BodyText"/>
      </w:pPr>
      <w:r>
        <w:rPr>
          <w:bCs/>
          <w:b/>
        </w:rPr>
        <w:t xml:space="preserve">Reviewer ID:</w:t>
      </w:r>
      <w:r>
        <w:t xml:space="preserve"> </w:t>
      </w:r>
      <w:r>
        <w:t xml:space="preserve">PR-MSC-8842</w:t>
      </w:r>
      <w:r>
        <w:br/>
      </w:r>
      <w:r>
        <w:rPr>
          <w:bCs/>
          <w:b/>
        </w:rPr>
        <w:t xml:space="preserve">Department:</w:t>
      </w:r>
      <w:r>
        <w:t xml:space="preserve"> </w:t>
      </w:r>
      <w:r>
        <w:t xml:space="preserve">Institute of Ecology and Genetics</w:t>
      </w:r>
    </w:p>
    <w:p>
      <w:pPr>
        <w:pStyle w:val="BodyText"/>
      </w:pPr>
      <w:r>
        <w:t xml:space="preserve">This</w:t>
      </w:r>
      <w:r>
        <w:t xml:space="preserve"> </w:t>
      </w:r>
      <w:r>
        <w:rPr>
          <w:bCs/>
          <w:b/>
        </w:rPr>
        <w:t xml:space="preserve">Peer Review Report</w:t>
      </w:r>
      <w:r>
        <w:t xml:space="preserve"> </w:t>
      </w:r>
      <w:r>
        <w:t xml:space="preserve">serves as a comprehensive evaluation of the professional performance, scientific contributions, and ethical conduct of the</w:t>
      </w:r>
      <w:r>
        <w:t xml:space="preserve"> </w:t>
      </w:r>
      <w:r>
        <w:rPr>
          <w:bCs/>
          <w:b/>
        </w:rPr>
        <w:t xml:space="preserve">Biologist</w:t>
      </w:r>
      <w:r>
        <w:t xml:space="preserve"> </w:t>
      </w:r>
      <w:r>
        <w:t xml:space="preserve">under assessment. The review is conducted within the rigorous academic and industrial standards prevalent in</w:t>
      </w:r>
      <w:r>
        <w:t xml:space="preserve"> </w:t>
      </w:r>
      <w:r>
        <w:rPr>
          <w:bCs/>
          <w:b/>
        </w:rPr>
        <w:t xml:space="preserve">Russia Moscow</w:t>
      </w:r>
      <w:r>
        <w:t xml:space="preserve">, a hub for advanced biological research and environmental science. The evaluation focuses on the candidate's ability to navigate the complex regulatory landscape of Russian scientific institutions while maintaining high standards of data integrity and innovation.</w:t>
      </w:r>
    </w:p>
    <w:bookmarkStart w:id="21" w:name="executive-summary"/>
    <w:p>
      <w:pPr>
        <w:pStyle w:val="Heading2"/>
      </w:pPr>
      <w:r>
        <w:t xml:space="preserve">1. Executive Summary</w:t>
      </w:r>
    </w:p>
    <w:p>
      <w:pPr>
        <w:pStyle w:val="FirstParagraph"/>
      </w:pPr>
      <w:r>
        <w:t xml:space="preserve">The</w:t>
      </w:r>
      <w:r>
        <w:t xml:space="preserve"> </w:t>
      </w:r>
      <w:r>
        <w:rPr>
          <w:bCs/>
          <w:b/>
        </w:rPr>
        <w:t xml:space="preserve">Biologist</w:t>
      </w:r>
      <w:r>
        <w:t xml:space="preserve"> </w:t>
      </w:r>
      <w:r>
        <w:t xml:space="preserve">has demonstrated a commendable level of expertise in molecular biology and ecological monitoring during the review period. Operating within the dynamic research environment of</w:t>
      </w:r>
      <w:r>
        <w:t xml:space="preserve"> </w:t>
      </w:r>
      <w:r>
        <w:rPr>
          <w:bCs/>
          <w:b/>
        </w:rPr>
        <w:t xml:space="preserve">Russia Moscow</w:t>
      </w:r>
      <w:r>
        <w:t xml:space="preserve">, the subject has successfully integrated into the local scientific community. This</w:t>
      </w:r>
      <w:r>
        <w:t xml:space="preserve"> </w:t>
      </w:r>
      <w:r>
        <w:rPr>
          <w:bCs/>
          <w:b/>
        </w:rPr>
        <w:t xml:space="preserve">Peer Review Report</w:t>
      </w:r>
      <w:r>
        <w:t xml:space="preserve"> </w:t>
      </w:r>
      <w:r>
        <w:t xml:space="preserve">highlights significant achievements in field research conducted in the Moscow region, as well as contributions to collaborative projects with federal research centers. While the technical proficiency is excellent, there are areas regarding administrative documentation and cross-departmental communication that require attention to align fully with the expectations of major Moscow-based institutions.</w:t>
      </w:r>
    </w:p>
    <w:bookmarkEnd w:id="21"/>
    <w:bookmarkStart w:id="22" w:name="Xfae788ac0707fc57762b02f7894deed83710637"/>
    <w:p>
      <w:pPr>
        <w:pStyle w:val="Heading2"/>
      </w:pPr>
      <w:r>
        <w:t xml:space="preserve">2. Scientific Competence and Research Output</w:t>
      </w:r>
    </w:p>
    <w:p>
      <w:pPr>
        <w:pStyle w:val="FirstParagraph"/>
      </w:pPr>
      <w:r>
        <w:t xml:space="preserve">The core of this</w:t>
      </w:r>
      <w:r>
        <w:t xml:space="preserve"> </w:t>
      </w:r>
      <w:r>
        <w:rPr>
          <w:bCs/>
          <w:b/>
        </w:rPr>
        <w:t xml:space="preserve">Peer Review Report</w:t>
      </w:r>
      <w:r>
        <w:t xml:space="preserve"> </w:t>
      </w:r>
      <w:r>
        <w:t xml:space="preserve">assesses the scientific rigor of the</w:t>
      </w:r>
      <w:r>
        <w:t xml:space="preserve"> </w:t>
      </w:r>
      <w:r>
        <w:rPr>
          <w:bCs/>
          <w:b/>
        </w:rPr>
        <w:t xml:space="preserve">Biologist</w:t>
      </w:r>
      <w:r>
        <w:t xml:space="preserve">. The candidate has shown exceptional skill in experimental design, particularly in studies related to urban biodiversity in</w:t>
      </w:r>
      <w:r>
        <w:t xml:space="preserve"> </w:t>
      </w:r>
      <w:r>
        <w:rPr>
          <w:bCs/>
          <w:b/>
        </w:rPr>
        <w:t xml:space="preserve">Russia Moscow</w:t>
      </w:r>
      <w:r>
        <w:t xml:space="preserve">. The methodology employed in recent projects adheres strictly to international standards while respecting local environmental regulations.</w:t>
      </w:r>
    </w:p>
    <w:p>
      <w:pPr>
        <w:pStyle w:val="BodyText"/>
      </w:pPr>
      <w:r>
        <w:t xml:space="preserve">Key achievements include:</w:t>
      </w:r>
    </w:p>
    <w:p>
      <w:pPr>
        <w:numPr>
          <w:ilvl w:val="0"/>
          <w:numId w:val="1001"/>
        </w:numPr>
        <w:pStyle w:val="Compact"/>
      </w:pPr>
      <w:r>
        <w:t xml:space="preserve">Publication of two high-impact papers in peer-reviewed journals focusing on the genetic diversity of local flora.</w:t>
      </w:r>
    </w:p>
    <w:p>
      <w:pPr>
        <w:numPr>
          <w:ilvl w:val="0"/>
          <w:numId w:val="1001"/>
        </w:numPr>
        <w:pStyle w:val="Compact"/>
      </w:pPr>
      <w:r>
        <w:t xml:space="preserve">Successful implementation of a new water quality testing protocol at a research station in the Moscow Oblast.</w:t>
      </w:r>
    </w:p>
    <w:p>
      <w:pPr>
        <w:numPr>
          <w:ilvl w:val="0"/>
          <w:numId w:val="1001"/>
        </w:numPr>
        <w:pStyle w:val="Compact"/>
      </w:pPr>
      <w:r>
        <w:t xml:space="preserve">Active participation in seminars and conferences hosted by the Russian Academy of Sciences.</w:t>
      </w:r>
    </w:p>
    <w:p>
      <w:pPr>
        <w:pStyle w:val="FirstParagraph"/>
      </w:pPr>
      <w:r>
        <w:t xml:space="preserve">The</w:t>
      </w:r>
      <w:r>
        <w:t xml:space="preserve"> </w:t>
      </w:r>
      <w:r>
        <w:rPr>
          <w:bCs/>
          <w:b/>
        </w:rPr>
        <w:t xml:space="preserve">Biologist</w:t>
      </w:r>
      <w:r>
        <w:t xml:space="preserve">’s ability to interpret complex biological data is a significant asset. However, the review notes that the translation of findings into policy recommendations for local authorities in</w:t>
      </w:r>
      <w:r>
        <w:t xml:space="preserve"> </w:t>
      </w:r>
      <w:r>
        <w:rPr>
          <w:bCs/>
          <w:b/>
        </w:rPr>
        <w:t xml:space="preserve">Russia Moscow</w:t>
      </w:r>
      <w:r>
        <w:t xml:space="preserve"> </w:t>
      </w:r>
      <w:r>
        <w:t xml:space="preserve">could be more robust.</w:t>
      </w:r>
    </w:p>
    <w:bookmarkEnd w:id="22"/>
    <w:bookmarkStart w:id="23" w:name="professional-conduct-and-ethics"/>
    <w:p>
      <w:pPr>
        <w:pStyle w:val="Heading2"/>
      </w:pPr>
      <w:r>
        <w:t xml:space="preserve">3. Professional Conduct and Ethics</w:t>
      </w:r>
    </w:p>
    <w:p>
      <w:pPr>
        <w:pStyle w:val="FirstParagraph"/>
      </w:pPr>
      <w:r>
        <w:t xml:space="preserve">Adherence to ethical guidelines is paramount in this</w:t>
      </w:r>
      <w:r>
        <w:t xml:space="preserve"> </w:t>
      </w:r>
      <w:r>
        <w:rPr>
          <w:bCs/>
          <w:b/>
        </w:rPr>
        <w:t xml:space="preserve">Peer Review Report</w:t>
      </w:r>
      <w:r>
        <w:t xml:space="preserve">. The</w:t>
      </w:r>
      <w:r>
        <w:t xml:space="preserve"> </w:t>
      </w:r>
      <w:r>
        <w:rPr>
          <w:bCs/>
          <w:b/>
        </w:rPr>
        <w:t xml:space="preserve">Biologist</w:t>
      </w:r>
      <w:r>
        <w:t xml:space="preserve"> </w:t>
      </w:r>
      <w:r>
        <w:t xml:space="preserve">has maintained a high standard of professional integrity. There have been no instances of data fabrication or plagiarism. The subject demonstrates respect for the hierarchical and collaborative culture typical of research institutions in</w:t>
      </w:r>
      <w:r>
        <w:t xml:space="preserve"> </w:t>
      </w:r>
      <w:r>
        <w:rPr>
          <w:bCs/>
          <w:b/>
        </w:rPr>
        <w:t xml:space="preserve">Russia Moscow</w:t>
      </w:r>
      <w:r>
        <w:t xml:space="preserve">.</w:t>
      </w:r>
    </w:p>
    <w:p>
      <w:pPr>
        <w:pStyle w:val="BodyText"/>
      </w:pPr>
      <w:r>
        <w:t xml:space="preserve">Furthermore, the</w:t>
      </w:r>
      <w:r>
        <w:t xml:space="preserve"> </w:t>
      </w:r>
      <w:r>
        <w:rPr>
          <w:bCs/>
          <w:b/>
        </w:rPr>
        <w:t xml:space="preserve">Biologist</w:t>
      </w:r>
      <w:r>
        <w:t xml:space="preserve"> </w:t>
      </w:r>
      <w:r>
        <w:t xml:space="preserve">has shown a strong commitment to safety protocols in the laboratory and during fieldwork. This is particularly important given the strict safety regulations enforced in Russian scientific facilities. The candidate’s interactions with colleagues are professional, fostering a positive working environment.</w:t>
      </w:r>
    </w:p>
    <w:bookmarkEnd w:id="23"/>
    <w:bookmarkStart w:id="24" w:name="adaptability-to-the-local-context"/>
    <w:p>
      <w:pPr>
        <w:pStyle w:val="Heading2"/>
      </w:pPr>
      <w:r>
        <w:t xml:space="preserve">4. Adaptability to the Local Context</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Biologist</w:t>
      </w:r>
      <w:r>
        <w:t xml:space="preserve">’s adaptation to the specific context of</w:t>
      </w:r>
      <w:r>
        <w:t xml:space="preserve"> </w:t>
      </w:r>
      <w:r>
        <w:rPr>
          <w:bCs/>
          <w:b/>
        </w:rPr>
        <w:t xml:space="preserve">Russia Moscow</w:t>
      </w:r>
      <w:r>
        <w:t xml:space="preserve">. The candidate has made significant strides in understanding the local bureaucratic and scientific frameworks. The ability to navigate the specific requirements of Russian grant applications and reporting structures is noted as a strength.</w:t>
      </w:r>
    </w:p>
    <w:p>
      <w:pPr>
        <w:pStyle w:val="BodyText"/>
      </w:pPr>
      <w:r>
        <w:t xml:space="preserve">However, the review suggests that further improvement in the Russian language, specifically regarding technical scientific terminology, would enhance the</w:t>
      </w:r>
      <w:r>
        <w:t xml:space="preserve"> </w:t>
      </w:r>
      <w:r>
        <w:rPr>
          <w:bCs/>
          <w:b/>
        </w:rPr>
        <w:t xml:space="preserve">Biologist</w:t>
      </w:r>
      <w:r>
        <w:t xml:space="preserve">’s effectiveness in communicating with local stakeholders and regulatory bodies in</w:t>
      </w:r>
      <w:r>
        <w:t xml:space="preserve"> </w:t>
      </w:r>
      <w:r>
        <w:rPr>
          <w:bCs/>
          <w:b/>
        </w:rPr>
        <w:t xml:space="preserve">Russia Moscow</w:t>
      </w:r>
      <w:r>
        <w:t xml:space="preserve">.</w:t>
      </w:r>
    </w:p>
    <w:bookmarkEnd w:id="24"/>
    <w:bookmarkStart w:id="25" w:name="quantitative-assessment"/>
    <w:p>
      <w:pPr>
        <w:pStyle w:val="Heading2"/>
      </w:pPr>
      <w:r>
        <w:t xml:space="preserve">5. Quantitative Assessment</w:t>
      </w:r>
    </w:p>
    <w:p>
      <w:pPr>
        <w:pStyle w:val="FirstParagraph"/>
      </w:pPr>
      <w:r>
        <w:t xml:space="preserve">Scale: 1 (Unsatisfactory) to 5 (Outstanding)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Technical Expertise</w:t>
            </w:r>
          </w:p>
        </w:tc>
        <w:tc>
          <w:tcPr/>
          <w:p>
            <w:pPr>
              <w:pStyle w:val="Compact"/>
              <w:jc w:val="left"/>
            </w:pPr>
            <w:r>
              <w:t xml:space="preserve">5</w:t>
            </w:r>
          </w:p>
        </w:tc>
        <w:tc>
          <w:tcPr/>
          <w:p>
            <w:pPr>
              <w:pStyle w:val="Compact"/>
              <w:jc w:val="left"/>
            </w:pPr>
            <w:r>
              <w:t xml:space="preserve">Exceptional knowledge in molecular biology.</w:t>
            </w:r>
          </w:p>
        </w:tc>
      </w:tr>
      <w:tr>
        <w:tc>
          <w:tcPr/>
          <w:p>
            <w:pPr>
              <w:pStyle w:val="Compact"/>
              <w:jc w:val="left"/>
            </w:pPr>
            <w:r>
              <w:t xml:space="preserve">Research Productivity</w:t>
            </w:r>
          </w:p>
        </w:tc>
        <w:tc>
          <w:tcPr/>
          <w:p>
            <w:pPr>
              <w:pStyle w:val="Compact"/>
              <w:jc w:val="left"/>
            </w:pPr>
            <w:r>
              <w:t xml:space="preserve">4</w:t>
            </w:r>
          </w:p>
        </w:tc>
        <w:tc>
          <w:tcPr/>
          <w:p>
            <w:pPr>
              <w:pStyle w:val="Compact"/>
              <w:jc w:val="left"/>
            </w:pPr>
            <w:r>
              <w:t xml:space="preserve">Strong publication record; could increase grant success rate.</w:t>
            </w:r>
          </w:p>
        </w:tc>
      </w:tr>
      <w:tr>
        <w:tc>
          <w:tcPr/>
          <w:p>
            <w:pPr>
              <w:pStyle w:val="Compact"/>
              <w:jc w:val="left"/>
            </w:pPr>
            <w:r>
              <w:t xml:space="preserve">Collaboration</w:t>
            </w:r>
          </w:p>
        </w:tc>
        <w:tc>
          <w:tcPr/>
          <w:p>
            <w:pPr>
              <w:pStyle w:val="Compact"/>
              <w:jc w:val="left"/>
            </w:pPr>
            <w:r>
              <w:t xml:space="preserve">4</w:t>
            </w:r>
          </w:p>
        </w:tc>
        <w:tc>
          <w:tcPr/>
          <w:p>
            <w:pPr>
              <w:pStyle w:val="Compact"/>
              <w:jc w:val="left"/>
            </w:pPr>
            <w:r>
              <w:t xml:space="preserve">Good team player; needs more engagement with external Moscow partners.</w:t>
            </w:r>
          </w:p>
        </w:tc>
      </w:tr>
      <w:tr>
        <w:tc>
          <w:tcPr/>
          <w:p>
            <w:pPr>
              <w:pStyle w:val="Compact"/>
              <w:jc w:val="left"/>
            </w:pPr>
            <w:r>
              <w:t xml:space="preserve">Adaptability</w:t>
            </w:r>
          </w:p>
        </w:tc>
        <w:tc>
          <w:tcPr/>
          <w:p>
            <w:pPr>
              <w:pStyle w:val="Compact"/>
              <w:jc w:val="left"/>
            </w:pPr>
            <w:r>
              <w:t xml:space="preserve">3</w:t>
            </w:r>
          </w:p>
        </w:tc>
        <w:tc>
          <w:tcPr/>
          <w:p>
            <w:pPr>
              <w:pStyle w:val="Compact"/>
              <w:jc w:val="left"/>
            </w:pPr>
            <w:r>
              <w:t xml:space="preserve">Improving, but language barriers still exist.</w:t>
            </w:r>
          </w:p>
        </w:tc>
      </w:tr>
      <w:tr>
        <w:tc>
          <w:tcPr/>
          <w:p>
            <w:pPr>
              <w:pStyle w:val="Compact"/>
              <w:jc w:val="left"/>
            </w:pPr>
            <w:r>
              <w:t xml:space="preserve">Ethical Compliance</w:t>
            </w:r>
          </w:p>
        </w:tc>
        <w:tc>
          <w:tcPr/>
          <w:p>
            <w:pPr>
              <w:pStyle w:val="Compact"/>
              <w:jc w:val="left"/>
            </w:pPr>
            <w:r>
              <w:t xml:space="preserve">5</w:t>
            </w:r>
          </w:p>
        </w:tc>
        <w:tc>
          <w:tcPr/>
          <w:p>
            <w:pPr>
              <w:pStyle w:val="Compact"/>
              <w:jc w:val="left"/>
            </w:pPr>
            <w:r>
              <w:t xml:space="preserve">Impeccable record.</w:t>
            </w:r>
          </w:p>
        </w:tc>
      </w:tr>
    </w:tbl>
    <w:bookmarkEnd w:id="25"/>
    <w:bookmarkStart w:id="26"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Biologist</w:t>
      </w:r>
      <w:r>
        <w:t xml:space="preserve"> </w:t>
      </w:r>
      <w:r>
        <w:t xml:space="preserve">is a valuable asset to the scientific community in</w:t>
      </w:r>
      <w:r>
        <w:t xml:space="preserve"> </w:t>
      </w:r>
      <w:r>
        <w:rPr>
          <w:bCs/>
          <w:b/>
        </w:rPr>
        <w:t xml:space="preserve">Russia Moscow</w:t>
      </w:r>
      <w:r>
        <w:t xml:space="preserve">. The candidate’s technical skills and ethical standards are exemplary. To further enhance their career trajectory and impact, the following recommendations are made:</w:t>
      </w:r>
    </w:p>
    <w:p>
      <w:pPr>
        <w:numPr>
          <w:ilvl w:val="0"/>
          <w:numId w:val="1002"/>
        </w:numPr>
        <w:pStyle w:val="Compact"/>
      </w:pPr>
      <w:r>
        <w:t xml:space="preserve">Engage in advanced Russian language courses focused on scientific communication.</w:t>
      </w:r>
    </w:p>
    <w:p>
      <w:pPr>
        <w:numPr>
          <w:ilvl w:val="0"/>
          <w:numId w:val="1002"/>
        </w:numPr>
        <w:pStyle w:val="Compact"/>
      </w:pPr>
      <w:r>
        <w:t xml:space="preserve">Seek opportunities to lead interdisciplinary projects involving local government agencies in Moscow.</w:t>
      </w:r>
    </w:p>
    <w:p>
      <w:pPr>
        <w:numPr>
          <w:ilvl w:val="0"/>
          <w:numId w:val="1002"/>
        </w:numPr>
        <w:pStyle w:val="Compact"/>
      </w:pPr>
      <w:r>
        <w:t xml:space="preserve">Continue to publish in high-impact journals to strengthen the institution’s reputation.</w:t>
      </w:r>
    </w:p>
    <w:p>
      <w:pPr>
        <w:pStyle w:val="FirstParagraph"/>
      </w:pPr>
      <w:r>
        <w:t xml:space="preserve">The</w:t>
      </w:r>
      <w:r>
        <w:t xml:space="preserve"> </w:t>
      </w:r>
      <w:r>
        <w:rPr>
          <w:bCs/>
          <w:b/>
        </w:rPr>
        <w:t xml:space="preserve">Biologist</w:t>
      </w:r>
      <w:r>
        <w:t xml:space="preserve"> </w:t>
      </w:r>
      <w:r>
        <w:t xml:space="preserve">is encouraged to view this</w:t>
      </w:r>
      <w:r>
        <w:t xml:space="preserve"> </w:t>
      </w:r>
      <w:r>
        <w:rPr>
          <w:bCs/>
          <w:b/>
        </w:rPr>
        <w:t xml:space="preserve">Peer Review Report</w:t>
      </w:r>
      <w:r>
        <w:t xml:space="preserve"> </w:t>
      </w:r>
      <w:r>
        <w:t xml:space="preserve">as a roadmap for continued professional growth within the vibrant and challenging environment of</w:t>
      </w:r>
      <w:r>
        <w:t xml:space="preserve"> </w:t>
      </w:r>
      <w:r>
        <w:rPr>
          <w:bCs/>
          <w:b/>
        </w:rPr>
        <w:t xml:space="preserve">Russia Moscow</w:t>
      </w:r>
      <w:r>
        <w:t xml:space="preserve">.</w:t>
      </w:r>
    </w:p>
    <w:p>
      <w:pPr>
        <w:pStyle w:val="BodyText"/>
      </w:pPr>
      <w:r>
        <w:rPr>
          <w:bCs/>
          <w:b/>
        </w:rPr>
        <w:t xml:space="preserve">Confidential Document</w:t>
      </w:r>
      <w:r>
        <w:br/>
      </w:r>
      <w:r>
        <w:t xml:space="preserve">This Peer Review Report is intended solely for the use of the designated recipient and the institution. Unauthorized distribution is prohibited.</w:t>
      </w:r>
      <w:r>
        <w:br/>
      </w:r>
      <w:r>
        <w:t xml:space="preserve">Generated for: Institute of Ecology and Genetics, Russia Moscow.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Russia Moscow</dc:title>
  <dc:creator/>
  <dc:language>en</dc:language>
  <cp:keywords/>
  <dcterms:created xsi:type="dcterms:W3CDTF">2026-10-10T07:08:46Z</dcterms:created>
  <dcterms:modified xsi:type="dcterms:W3CDTF">2026-10-10T07:08:46Z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