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Biomedical Engineer operating within the healthcare and engineering sectors in Australia Melbourne. The purpose of this review is to ensure that the engineer’s work aligns with the highest standards of practice, regulatory requirements, and industry expectations. Melbourne, as a leading hub for biomedical innovation and healthcare in Australia, demands rigorous adherence to quality, safety, and innovation principles. This report provides a comprehensive assessment of the engineer’s contributions, methodologies, and impact on the field.</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biomedical engineering disciplines.</w:t>
      </w:r>
    </w:p>
    <w:p>
      <w:pPr>
        <w:numPr>
          <w:ilvl w:val="0"/>
          <w:numId w:val="1001"/>
        </w:numPr>
        <w:pStyle w:val="Compact"/>
      </w:pPr>
      <w:r>
        <w:t xml:space="preserve">Compliance with Australian Standards and regulatory frameworks.</w:t>
      </w:r>
    </w:p>
    <w:p>
      <w:pPr>
        <w:numPr>
          <w:ilvl w:val="0"/>
          <w:numId w:val="1001"/>
        </w:numPr>
        <w:pStyle w:val="Compact"/>
      </w:pPr>
      <w:r>
        <w:t xml:space="preserve">Contribution to research, development, and innovation in Melbourne’s biomedical sector.</w:t>
      </w:r>
    </w:p>
    <w:p>
      <w:pPr>
        <w:numPr>
          <w:ilvl w:val="0"/>
          <w:numId w:val="1001"/>
        </w:numPr>
        <w:pStyle w:val="Compact"/>
      </w:pPr>
      <w:r>
        <w:t xml:space="preserve">Ethical considerations and professional conduct.</w:t>
      </w:r>
    </w:p>
    <w:p>
      <w:pPr>
        <w:numPr>
          <w:ilvl w:val="0"/>
          <w:numId w:val="1001"/>
        </w:numPr>
        <w:pStyle w:val="Compact"/>
      </w:pPr>
      <w:r>
        <w:t xml:space="preserve">Collaboration with multidisciplinary teams, including healthcare professionals and engineers.</w:t>
      </w:r>
    </w:p>
    <w:p>
      <w:pPr>
        <w:pStyle w:val="FirstParagraph"/>
      </w:pPr>
      <w:r>
        <w:t xml:space="preserve">The review is based on documented evidence, project outcomes, peer feedback, and direct observations of the engineer’s work in Australia Melbourne.</w:t>
      </w:r>
    </w:p>
    <w:bookmarkEnd w:id="22"/>
    <w:bookmarkStart w:id="23" w:name="technical-competence"/>
    <w:p>
      <w:pPr>
        <w:pStyle w:val="Heading2"/>
      </w:pPr>
      <w:r>
        <w:t xml:space="preserve">3. Technical Competence</w:t>
      </w:r>
    </w:p>
    <w:p>
      <w:pPr>
        <w:pStyle w:val="FirstParagraph"/>
      </w:pPr>
      <w:r>
        <w:t xml:space="preserve">The Biomedical Engineer under review has demonstrated exceptional technical competence across a range of disciplines, including medical device design, biomechanics, imaging systems, and clinical engineering. Their work reflects a deep understanding of both engineering principles and clinical applications, which is critical for success in Australia Melbourne’s dynamic healthcare environment.</w:t>
      </w:r>
    </w:p>
    <w:p>
      <w:pPr>
        <w:pStyle w:val="BodyText"/>
      </w:pPr>
      <w:r>
        <w:t xml:space="preserve">Notably, the engineer has contributed to the development of innovative medical devices that address unmet clinical needs. For example, their involvement in designing a portable diagnostic tool for rural healthcare settings in Victoria highlights their ability to create practical, cost-effective solutions. This project not only improved healthcare accessibility but also aligned with Melbourne’s commitment to advancing equitable healthcare services.</w:t>
      </w:r>
    </w:p>
    <w:p>
      <w:pPr>
        <w:pStyle w:val="BodyText"/>
      </w:pPr>
      <w:r>
        <w:t xml:space="preserve">Furthermore, the engineer’s proficiency in utilizing advanced simulation tools and computational modeling has been instrumental in optimizing device performance and ensuring patient safety. Their adherence to Australian Standards, such as AS/NZS ISO 13485 for medical device quality management, underscores their dedication to maintaining the highest levels of quality and compliance.</w:t>
      </w:r>
    </w:p>
    <w:bookmarkEnd w:id="23"/>
    <w:bookmarkStart w:id="24" w:name="research-and-innovation"/>
    <w:p>
      <w:pPr>
        <w:pStyle w:val="Heading2"/>
      </w:pPr>
      <w:r>
        <w:t xml:space="preserve">4. Research and Innovation</w:t>
      </w:r>
    </w:p>
    <w:p>
      <w:pPr>
        <w:pStyle w:val="FirstParagraph"/>
      </w:pPr>
      <w:r>
        <w:t xml:space="preserve">Melbourne is renowned for its vibrant research ecosystem, and the Biomedical Engineer under review has made significant contributions to this landscape. Their involvement in collaborative research projects with leading institutions, such as the University of Melbourne and Monash University, has resulted in groundbreaking advancements in areas such as tissue engineering, neurotechnology, and personalized medicine.</w:t>
      </w:r>
    </w:p>
    <w:p>
      <w:pPr>
        <w:pStyle w:val="BodyText"/>
      </w:pPr>
      <w:r>
        <w:t xml:space="preserve">One notable achievement is their role in developing a novel biomaterial for wound healing applications. This innovation has the potential to revolutionize patient care by reducing healing times and minimizing scarring. The engineer’s ability to translate theoretical concepts into practical solutions exemplifies their commitment to driving progress in the biomedical field.</w:t>
      </w:r>
    </w:p>
    <w:p>
      <w:pPr>
        <w:pStyle w:val="BodyText"/>
      </w:pPr>
      <w:r>
        <w:t xml:space="preserve">Additionally, their active participation in conferences and workshops in Australia Melbourne has facilitated knowledge sharing and fostered collaborations with other professionals. These efforts have strengthened Melbourne’s position as a global leader in biomedical innovation.</w:t>
      </w:r>
    </w:p>
    <w:bookmarkEnd w:id="24"/>
    <w:bookmarkStart w:id="25" w:name="ethical-conduct-and-professionalism"/>
    <w:p>
      <w:pPr>
        <w:pStyle w:val="Heading2"/>
      </w:pPr>
      <w:r>
        <w:t xml:space="preserve">5. Ethical Conduct and Professionalism</w:t>
      </w:r>
    </w:p>
    <w:p>
      <w:pPr>
        <w:pStyle w:val="FirstParagraph"/>
      </w:pPr>
      <w:r>
        <w:t xml:space="preserve">Ethical conduct is paramount in the field of biomedical engineering, where decisions directly impact patient safety and well-being. The Biomedical Engineer under review has consistently demonstrated a strong commitment to ethical principles, including transparency, accountability, and respect for patient privacy.</w:t>
      </w:r>
    </w:p>
    <w:p>
      <w:pPr>
        <w:pStyle w:val="BodyText"/>
      </w:pPr>
      <w:r>
        <w:t xml:space="preserve">Their adherence to the Code of Ethics outlined by Engineers Australia and other relevant bodies ensures that their work upholds the highest standards of integrity. For instance, they have implemented robust data protection measures in all projects involving patient information, thereby safeguarding confidentiality and compliance with Australian privacy laws.</w:t>
      </w:r>
    </w:p>
    <w:p>
      <w:pPr>
        <w:pStyle w:val="BodyText"/>
      </w:pPr>
      <w:r>
        <w:t xml:space="preserve">Moreover, the engineer has shown a proactive approach to addressing ethical dilemmas, such as balancing innovation with risk management. Their ability to navigate complex ethical landscapes reflects their maturity and professionalism as a practitioner in Australia Melbourne.</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biomedical engineering, where multidisciplinary teamwork is the norm. The Biomedical Engineer under review has excelled in this area, demonstrating strong communication skills and the ability to work seamlessly with clinicians, researchers, and industry partners.</w:t>
      </w:r>
    </w:p>
    <w:p>
      <w:pPr>
        <w:pStyle w:val="BodyText"/>
      </w:pPr>
      <w:r>
        <w:t xml:space="preserve">Their contributions to team-based projects in Melbourne’s healthcare sector have been widely praised. For example, their leadership in a cross-functional team tasked with implementing a new imaging system at a major hospital resulted in improved diagnostic accuracy and workflow efficiency. This success was largely due to their ability to bridge the gap between technical expertise and clinical needs.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pursue opportunities for professional development, particularly in emerging areas such as artificial intelligence and digital health.</w:t>
      </w:r>
    </w:p>
    <w:p>
      <w:pPr>
        <w:numPr>
          <w:ilvl w:val="0"/>
          <w:numId w:val="1002"/>
        </w:numPr>
        <w:pStyle w:val="Compact"/>
      </w:pPr>
      <w:r>
        <w:t xml:space="preserve">Expand collaborations with international partners to further enhance Melbourne’s reputation as a biomedical innovation hub.</w:t>
      </w:r>
    </w:p>
    <w:p>
      <w:pPr>
        <w:numPr>
          <w:ilvl w:val="0"/>
          <w:numId w:val="1002"/>
        </w:numPr>
        <w:pStyle w:val="Compact"/>
      </w:pPr>
      <w:r>
        <w:t xml:space="preserve">Mentor junior engineers to foster the next generation of talent in Australia Melbourne.</w:t>
      </w:r>
    </w:p>
    <w:bookmarkEnd w:id="27"/>
    <w:bookmarkStart w:id="28" w:name="conclusion"/>
    <w:p>
      <w:pPr>
        <w:pStyle w:val="Heading2"/>
      </w:pPr>
      <w:r>
        <w:t xml:space="preserve">8. Conclusion</w:t>
      </w:r>
    </w:p>
    <w:p>
      <w:pPr>
        <w:pStyle w:val="FirstParagraph"/>
      </w:pPr>
      <w:r>
        <w:t xml:space="preserve">In conclusion, the Biomedical Engineer under review has demonstrated exceptional competence, innovation, and professionalism in their work within Australia Melbourne. Their contributions have not only advanced the field of biomedical engineering but also positively impacted healthcare outcomes in the region. This Peer Review Report affirms their status as a valued member of the engineering community and a key driver of progress in Melbourne’s biomedical sector.</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