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t xml:space="preserve">Report ID:</w:t>
      </w:r>
      <w:r>
        <w:t xml:space="preserve"> </w:t>
      </w:r>
      <w:r>
        <w:t xml:space="preserve">BRU-BME-2023-089</w:t>
      </w:r>
    </w:p>
    <w:p>
      <w:pPr>
        <w:pStyle w:val="BodyText"/>
      </w:pPr>
      <w:r>
        <w:t xml:space="preserve">Date:</w:t>
      </w:r>
      <w:r>
        <w:t xml:space="preserve"> </w:t>
      </w:r>
      <w:r>
        <w:t xml:space="preserve">October 24, 2023</w:t>
      </w:r>
    </w:p>
    <w:p>
      <w:pPr>
        <w:pStyle w:val="BodyText"/>
      </w:pPr>
      <w:r>
        <w:t xml:space="preserve">Location:</w:t>
      </w:r>
      <w:r>
        <w:t xml:space="preserve"> </w:t>
      </w:r>
      <w:r>
        <w:t xml:space="preserve">Brussels, Belgium</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document serves as a formal</w:t>
      </w:r>
      <w:r>
        <w:t xml:space="preserve"> </w:t>
      </w:r>
      <w:r>
        <w:rPr>
          <w:bCs/>
          <w:b/>
        </w:rPr>
        <w:t xml:space="preserve">Peer Review Report</w:t>
      </w:r>
      <w:r>
        <w:t xml:space="preserve"> </w:t>
      </w:r>
      <w:r>
        <w:t xml:space="preserve">evaluating the professional competency, technical output, and regulatory compliance of the subject</w:t>
      </w:r>
      <w:r>
        <w:t xml:space="preserve"> </w:t>
      </w:r>
      <w:r>
        <w:rPr>
          <w:bCs/>
          <w:b/>
        </w:rPr>
        <w:t xml:space="preserve">Biomedical Engineer</w:t>
      </w:r>
      <w:r>
        <w:t xml:space="preserve">. The review was conducted within the operational context of a leading medical technology firm based in</w:t>
      </w:r>
      <w:r>
        <w:t xml:space="preserve"> </w:t>
      </w:r>
      <w:r>
        <w:rPr>
          <w:bCs/>
          <w:b/>
        </w:rPr>
        <w:t xml:space="preserve">Belgium Brussels</w:t>
      </w:r>
      <w:r>
        <w:t xml:space="preserve">. The primary objective of this assessment is to ensure that the engineer's work aligns with the rigorous standards expected in the European Union medical device sector, specifically adhering to the Medical Device Regulation (MDR 2017/745) and local Belgian professional guidelines.</w:t>
      </w:r>
    </w:p>
    <w:p>
      <w:pPr>
        <w:pStyle w:val="BodyText"/>
      </w:pPr>
      <w:r>
        <w:t xml:space="preserve">The subject has demonstrated a high level of proficiency in the design and validation of diagnostic equipment. However, this report highlights specific areas regarding documentation standards and cross-functional communication that require attention to fully meet the expectations of a senior role in the Brussels market.</w:t>
      </w:r>
    </w:p>
    <w:bookmarkEnd w:id="21"/>
    <w:bookmarkStart w:id="24" w:name="subject-profile-and-scope"/>
    <w:p>
      <w:pPr>
        <w:pStyle w:val="Heading2"/>
      </w:pPr>
      <w:r>
        <w:t xml:space="preserve">2. Subject Profile and Scope</w:t>
      </w:r>
    </w:p>
    <w:bookmarkStart w:id="22" w:name="candidate-details"/>
    <w:p>
      <w:pPr>
        <w:pStyle w:val="Heading3"/>
      </w:pPr>
      <w:r>
        <w:t xml:space="preserve">2.1 Candidate Details</w:t>
      </w:r>
    </w:p>
    <w:p>
      <w:pPr>
        <w:numPr>
          <w:ilvl w:val="0"/>
          <w:numId w:val="1001"/>
        </w:numPr>
        <w:pStyle w:val="Compact"/>
      </w:pPr>
      <w:r>
        <w:rPr>
          <w:bCs/>
          <w:b/>
        </w:rPr>
        <w:t xml:space="preserve">Role:</w:t>
      </w:r>
      <w:r>
        <w:t xml:space="preserve"> </w:t>
      </w:r>
      <w:r>
        <w:t xml:space="preserve">Senior Biomedical Engineer</w:t>
      </w:r>
    </w:p>
    <w:p>
      <w:pPr>
        <w:numPr>
          <w:ilvl w:val="0"/>
          <w:numId w:val="1001"/>
        </w:numPr>
        <w:pStyle w:val="Compact"/>
      </w:pPr>
      <w:r>
        <w:rPr>
          <w:bCs/>
          <w:b/>
        </w:rPr>
        <w:t xml:space="preserve">Department:</w:t>
      </w:r>
      <w:r>
        <w:t xml:space="preserve"> </w:t>
      </w:r>
      <w:r>
        <w:t xml:space="preserve">R&amp;D and Clinical Validation</w:t>
      </w:r>
    </w:p>
    <w:p>
      <w:pPr>
        <w:numPr>
          <w:ilvl w:val="0"/>
          <w:numId w:val="1001"/>
        </w:numPr>
        <w:pStyle w:val="Compact"/>
      </w:pPr>
      <w:r>
        <w:rPr>
          <w:bCs/>
          <w:b/>
        </w:rPr>
        <w:t xml:space="preserve">Project Focus:</w:t>
      </w:r>
      <w:r>
        <w:t xml:space="preserve"> </w:t>
      </w:r>
      <w:r>
        <w:t xml:space="preserve">Development of non-invasive patient monitoring systems.</w:t>
      </w:r>
    </w:p>
    <w:bookmarkEnd w:id="22"/>
    <w:bookmarkStart w:id="23" w:name="scope-of-review"/>
    <w:p>
      <w:pPr>
        <w:pStyle w:val="Heading3"/>
      </w:pPr>
      <w:r>
        <w:t xml:space="preserve">2.2 Scope of Review</w:t>
      </w:r>
    </w:p>
    <w:p>
      <w:pPr>
        <w:pStyle w:val="FirstParagraph"/>
      </w:pPr>
      <w:r>
        <w:t xml:space="preserve">This</w:t>
      </w:r>
      <w:r>
        <w:t xml:space="preserve"> </w:t>
      </w:r>
      <w:r>
        <w:rPr>
          <w:bCs/>
          <w:b/>
        </w:rPr>
        <w:t xml:space="preserve">Peer Review Report</w:t>
      </w:r>
      <w:r>
        <w:t xml:space="preserve"> </w:t>
      </w:r>
      <w:r>
        <w:t xml:space="preserve">covers the period from January 2023 to September 2023. The evaluation focuses on three core pillars: Technical Engineering Competence, Regulatory Adherence in</w:t>
      </w:r>
      <w:r>
        <w:t xml:space="preserve"> </w:t>
      </w:r>
      <w:r>
        <w:rPr>
          <w:bCs/>
          <w:b/>
        </w:rPr>
        <w:t xml:space="preserve">Belgium Brussels</w:t>
      </w:r>
      <w:r>
        <w:t xml:space="preserve">, and Professional Collaboration. As a</w:t>
      </w:r>
      <w:r>
        <w:t xml:space="preserve"> </w:t>
      </w:r>
      <w:r>
        <w:rPr>
          <w:bCs/>
          <w:b/>
        </w:rPr>
        <w:t xml:space="preserve">Biomedical Engineer</w:t>
      </w:r>
      <w:r>
        <w:t xml:space="preserve"> </w:t>
      </w:r>
      <w:r>
        <w:t xml:space="preserve">operating in the EU, the subject is expected to bridge the gap between complex engineering principles and clinical safety requirements.</w:t>
      </w:r>
    </w:p>
    <w:bookmarkEnd w:id="23"/>
    <w:bookmarkEnd w:id="24"/>
    <w:bookmarkStart w:id="25" w:name="technical-competence-assessment"/>
    <w:p>
      <w:pPr>
        <w:pStyle w:val="Heading2"/>
      </w:pPr>
      <w:r>
        <w:t xml:space="preserve">3. Technical Competence Assessment</w:t>
      </w:r>
    </w:p>
    <w:p>
      <w:pPr>
        <w:pStyle w:val="FirstParagraph"/>
      </w:pPr>
      <w:r>
        <w:t xml:space="preserve">The core function of a</w:t>
      </w:r>
      <w:r>
        <w:t xml:space="preserve"> </w:t>
      </w:r>
      <w:r>
        <w:rPr>
          <w:bCs/>
          <w:b/>
        </w:rPr>
        <w:t xml:space="preserve">Biomedical Engineer</w:t>
      </w:r>
      <w:r>
        <w:t xml:space="preserve"> </w:t>
      </w:r>
      <w:r>
        <w:t xml:space="preserve">is to apply engineering principles to medicine and biology for healthcare purposes. In this regard, the subject has shown exceptional skill in signal processing and hardware integration. The recent prototype developed for the cardiac monitoring unit displayed a significant reduction in noise interference, a critical factor for device reliability.</w:t>
      </w:r>
    </w:p>
    <w:p>
      <w:pPr>
        <w:pStyle w:val="BodyText"/>
      </w:pPr>
      <w:r>
        <w:t xml:space="preserve">Furthermore, the engineer demonstrated a robust understanding of the finite element analysis required for the mechanical components of the device. The ability to simulate stress tests before physical prototyping saved the project approximately 15% in development time. This technical acumen is vital for maintaining the competitive edge of medical technology companies situated in the innovation hub of</w:t>
      </w:r>
      <w:r>
        <w:t xml:space="preserve"> </w:t>
      </w:r>
      <w:r>
        <w:rPr>
          <w:bCs/>
          <w:b/>
        </w:rPr>
        <w:t xml:space="preserve">Belgium Brussels</w:t>
      </w:r>
      <w:r>
        <w:t xml:space="preserve">.</w:t>
      </w:r>
    </w:p>
    <w:p>
      <w:pPr>
        <w:pStyle w:val="BodyText"/>
      </w:pPr>
      <w:r>
        <w:t xml:space="preserve">However, the review identified a need for improvement in software validation protocols. While the hardware is sound, the accompanying firmware documentation lacks the granularity required for a seamless audit process. As a</w:t>
      </w:r>
      <w:r>
        <w:t xml:space="preserve"> </w:t>
      </w:r>
      <w:r>
        <w:rPr>
          <w:bCs/>
          <w:b/>
        </w:rPr>
        <w:t xml:space="preserve">Biomedical Engineer</w:t>
      </w:r>
      <w:r>
        <w:t xml:space="preserve">, ensuring that software is as rigorously tested as hardware is non-negotiable.</w:t>
      </w:r>
    </w:p>
    <w:bookmarkEnd w:id="25"/>
    <w:bookmarkStart w:id="26" w:name="regulatory-compliance-and-standards"/>
    <w:p>
      <w:pPr>
        <w:pStyle w:val="Heading2"/>
      </w:pPr>
      <w:r>
        <w:t xml:space="preserve">4. Regulatory Compliance and Standards</w:t>
      </w:r>
    </w:p>
    <w:p>
      <w:pPr>
        <w:pStyle w:val="FirstParagraph"/>
      </w:pPr>
      <w:r>
        <w:t xml:space="preserve">Operating in</w:t>
      </w:r>
      <w:r>
        <w:t xml:space="preserve"> </w:t>
      </w:r>
      <w:r>
        <w:rPr>
          <w:bCs/>
          <w:b/>
        </w:rPr>
        <w:t xml:space="preserve">Belgium Brussels</w:t>
      </w:r>
      <w:r>
        <w:t xml:space="preserve"> </w:t>
      </w:r>
      <w:r>
        <w:t xml:space="preserve">places the</w:t>
      </w:r>
      <w:r>
        <w:t xml:space="preserve"> </w:t>
      </w:r>
      <w:r>
        <w:rPr>
          <w:bCs/>
          <w:b/>
        </w:rPr>
        <w:t xml:space="preserve">Biomedical Engineer</w:t>
      </w:r>
      <w:r>
        <w:t xml:space="preserve"> </w:t>
      </w:r>
      <w:r>
        <w:t xml:space="preserve">under the strict scrutiny of European regulations. This section of the</w:t>
      </w:r>
      <w:r>
        <w:t xml:space="preserve"> </w:t>
      </w:r>
      <w:r>
        <w:rPr>
          <w:bCs/>
          <w:b/>
        </w:rPr>
        <w:t xml:space="preserve">Peer Review Report</w:t>
      </w:r>
      <w:r>
        <w:t xml:space="preserve"> </w:t>
      </w:r>
      <w:r>
        <w:t xml:space="preserve">evaluates adherence to ISO 13485 (Quality Management) and the EU MDR.</w:t>
      </w:r>
    </w:p>
    <w:p>
      <w:pPr>
        <w:pStyle w:val="BodyText"/>
      </w:pPr>
      <w:r>
        <w:t xml:space="preserve">The subject has successfully maintained the Design History File (DHF) for the current project, ensuring that all design changes are traceable. This is a critical requirement for market authorization in the EU. The engineer correctly identified the need for a risk management file compliant with ISO 14971, demonstrating a proactive approach to patient safety.</w:t>
      </w:r>
    </w:p>
    <w:p>
      <w:pPr>
        <w:pStyle w:val="BodyText"/>
      </w:pPr>
      <w:r>
        <w:t xml:space="preserve">Nevertheless, there were minor discrepancies in the labeling requirements for the device intended for the Belgian market. Specifically, the inclusion of mandatory safety warnings in the three national languages (Dutch, French, and German) was delayed. A</w:t>
      </w:r>
      <w:r>
        <w:t xml:space="preserve"> </w:t>
      </w:r>
      <w:r>
        <w:rPr>
          <w:bCs/>
          <w:b/>
        </w:rPr>
        <w:t xml:space="preserve">Biomedical Engineer</w:t>
      </w:r>
      <w:r>
        <w:t xml:space="preserve"> </w:t>
      </w:r>
      <w:r>
        <w:t xml:space="preserve">in Brussels must be culturally and linguistically aware of the local regulatory landscape to avoid delays in product launch.</w:t>
      </w:r>
    </w:p>
    <w:bookmarkEnd w:id="26"/>
    <w:bookmarkStart w:id="27" w:name="professional-collaboration-and-ethics"/>
    <w:p>
      <w:pPr>
        <w:pStyle w:val="Heading2"/>
      </w:pPr>
      <w:r>
        <w:t xml:space="preserve">5. Professional Collaboration and Ethics</w:t>
      </w:r>
    </w:p>
    <w:p>
      <w:pPr>
        <w:pStyle w:val="FirstParagraph"/>
      </w:pPr>
      <w:r>
        <w:t xml:space="preserve">Biomedical engineering is inherently multidisciplinary. This</w:t>
      </w:r>
      <w:r>
        <w:t xml:space="preserve"> </w:t>
      </w:r>
      <w:r>
        <w:rPr>
          <w:bCs/>
          <w:b/>
        </w:rPr>
        <w:t xml:space="preserve">Peer Review Report</w:t>
      </w:r>
      <w:r>
        <w:t xml:space="preserve"> </w:t>
      </w:r>
      <w:r>
        <w:t xml:space="preserve">assesses how the subject interacts with clinicians, regulatory affairs specialists, and software developers.</w:t>
      </w:r>
    </w:p>
    <w:p>
      <w:pPr>
        <w:pStyle w:val="BodyText"/>
      </w:pPr>
      <w:r>
        <w:t xml:space="preserve">The engineer has established strong relationships with clinical partners at local hospitals in the Brussels-Capital Region. Feedback from these clinicians indicates that the engineer is receptive to user needs and translates clinical requirements into technical specifications effectively. This collaboration is essential for ensuring that the final product is user-friendly and clinically relevant.</w:t>
      </w:r>
    </w:p>
    <w:p>
      <w:pPr>
        <w:pStyle w:val="BodyText"/>
      </w:pPr>
      <w:r>
        <w:t xml:space="preserve">Ethical considerations were also reviewed. The subject adhered strictly to data privacy laws (GDPR) when handling patient data during the clinical evaluation phase. This is particularly important in</w:t>
      </w:r>
      <w:r>
        <w:t xml:space="preserve"> </w:t>
      </w:r>
      <w:r>
        <w:rPr>
          <w:bCs/>
          <w:b/>
        </w:rPr>
        <w:t xml:space="preserve">Belgium Brussels</w:t>
      </w:r>
      <w:r>
        <w:t xml:space="preserve">, where data protection is enforced rigorously. The engineer’s commitment to ethical standards reinforces the trust placed in the role of a</w:t>
      </w:r>
      <w:r>
        <w:t xml:space="preserve"> </w:t>
      </w:r>
      <w:r>
        <w:rPr>
          <w:bCs/>
          <w:b/>
        </w:rPr>
        <w:t xml:space="preserve">Biomedical Engineer</w:t>
      </w:r>
      <w:r>
        <w:t xml:space="preserve">.</w:t>
      </w:r>
    </w:p>
    <w:bookmarkEnd w:id="27"/>
    <w:bookmarkStart w:id="28"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 subject is deemed competent and valuable to the organization. However, to advance to the next level of seniority, the following actions are recommended:</w:t>
      </w:r>
    </w:p>
    <w:p>
      <w:pPr>
        <w:numPr>
          <w:ilvl w:val="0"/>
          <w:numId w:val="1002"/>
        </w:numPr>
        <w:pStyle w:val="Compact"/>
      </w:pPr>
      <w:r>
        <w:rPr>
          <w:bCs/>
          <w:b/>
        </w:rPr>
        <w:t xml:space="preserve">Enhance Software Documentation:</w:t>
      </w:r>
      <w:r>
        <w:t xml:space="preserve"> </w:t>
      </w:r>
      <w:r>
        <w:t xml:space="preserve">Implement stricter version control and validation documentation for firmware updates.</w:t>
      </w:r>
    </w:p>
    <w:p>
      <w:pPr>
        <w:numPr>
          <w:ilvl w:val="0"/>
          <w:numId w:val="1002"/>
        </w:numPr>
        <w:pStyle w:val="Compact"/>
      </w:pPr>
      <w:r>
        <w:rPr>
          <w:bCs/>
          <w:b/>
        </w:rPr>
        <w:t xml:space="preserve">Regulatory Training:</w:t>
      </w:r>
      <w:r>
        <w:t xml:space="preserve"> </w:t>
      </w:r>
      <w:r>
        <w:t xml:space="preserve">Undertake advanced training on the specific labeling and language requirements for medical devices in the Belgian market.</w:t>
      </w:r>
    </w:p>
    <w:p>
      <w:pPr>
        <w:numPr>
          <w:ilvl w:val="0"/>
          <w:numId w:val="1002"/>
        </w:numPr>
        <w:pStyle w:val="Compact"/>
      </w:pPr>
      <w:r>
        <w:rPr>
          <w:bCs/>
          <w:b/>
        </w:rPr>
        <w:t xml:space="preserve">Mentorship:</w:t>
      </w:r>
      <w:r>
        <w:t xml:space="preserve"> </w:t>
      </w:r>
      <w:r>
        <w:t xml:space="preserve">Begin mentoring junior engineers to disseminate knowledge regarding EU MDR compliance.</w:t>
      </w:r>
    </w:p>
    <w:p>
      <w:pPr>
        <w:pStyle w:val="FirstParagraph"/>
      </w:pPr>
      <w:r>
        <w:t xml:space="preserve">In conclusion, this</w:t>
      </w:r>
      <w:r>
        <w:t xml:space="preserve"> </w:t>
      </w:r>
      <w:r>
        <w:rPr>
          <w:bCs/>
          <w:b/>
        </w:rPr>
        <w:t xml:space="preserve">Biomedical Engineer</w:t>
      </w:r>
      <w:r>
        <w:t xml:space="preserve"> </w:t>
      </w:r>
      <w:r>
        <w:t xml:space="preserve">has performed at a high standard, contributing significantly to the technological advancements of the firm in</w:t>
      </w:r>
      <w:r>
        <w:t xml:space="preserve"> </w:t>
      </w:r>
      <w:r>
        <w:rPr>
          <w:bCs/>
          <w:b/>
        </w:rPr>
        <w:t xml:space="preserve">Belgium Brussels</w:t>
      </w:r>
      <w:r>
        <w:t xml:space="preserve">. By addressing the minor gaps identified in this report, the engineer will be fully aligned with the elite standards of the European biomedical industry.</w:t>
      </w:r>
    </w:p>
    <w:bookmarkEnd w:id="28"/>
    <w:p>
      <w:pPr>
        <w:pStyle w:val="BodyText"/>
      </w:pPr>
      <w:r>
        <w:rPr>
          <w:bCs/>
          <w:b/>
        </w:rPr>
        <w:t xml:space="preserve">Reviewed By:</w:t>
      </w:r>
      <w:r>
        <w:br/>
      </w:r>
      <w:r>
        <w:t xml:space="preserve">Dr. Jean-Pierre Dubois</w:t>
      </w:r>
      <w:r>
        <w:br/>
      </w:r>
      <w:r>
        <w:t xml:space="preserve">Chief Technology Officer</w:t>
      </w:r>
    </w:p>
    <w:p>
      <w:pPr>
        <w:pStyle w:val="BodyText"/>
      </w:pPr>
      <w:r>
        <w:rPr>
          <w:bCs/>
          <w:b/>
        </w:rPr>
        <w:t xml:space="preserve">Reviewed By:</w:t>
      </w:r>
      <w:r>
        <w:br/>
      </w:r>
      <w:r>
        <w:t xml:space="preserve">Sarah Van Den Berg</w:t>
      </w:r>
      <w:r>
        <w:br/>
      </w:r>
      <w:r>
        <w:t xml:space="preserve">Head of Regulatory Affairs</w:t>
      </w:r>
    </w:p>
    <w:p>
      <w:pPr>
        <w:pStyle w:val="BodyText"/>
      </w:pPr>
      <w:r>
        <w:t xml:space="preserve">This document is the property of the reviewing organization. Unauthorized distribution is prohibited.</w:t>
      </w:r>
    </w:p>
    <w:p>
      <w:pPr>
        <w:pStyle w:val="BodyText"/>
      </w:pPr>
      <w:r>
        <w:t xml:space="preserve">Generated for Peer Review Purposes in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Brussels, Belgium</dc:title>
  <dc:creator/>
  <dc:language>en</dc:language>
  <cp:keywords/>
  <dcterms:created xsi:type="dcterms:W3CDTF">2026-10-10T09:15:32Z</dcterms:created>
  <dcterms:modified xsi:type="dcterms:W3CDTF">2026-10-10T09:15:32Z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