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Biomedical Engineer</w:t>
      </w:r>
    </w:p>
    <w:p>
      <w:pPr>
        <w:pStyle w:val="BodyText"/>
      </w:pPr>
      <w:r>
        <w:rPr>
          <w:bCs/>
          <w:b/>
        </w:rPr>
        <w:t xml:space="preserve">Location:</w:t>
      </w:r>
      <w:r>
        <w:t xml:space="preserve"> </w:t>
      </w:r>
      <w:r>
        <w:t xml:space="preserve">Malaysia Kuala Lumpur</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standing, technical proficiency, and ethical adherence of the subject Biomedical Engineer operating within the healthcare infrastructure of Malaysia Kuala Lumpur. The review process aligns with the standards set by the Engineering Council of Malaysia and the Ministry of Health Malaysia. The objective is to ensure that the engineer maintains the highest level of competency in the maintenance, calibration, and implementation of medical technologies, thereby safeguarding patient safety and operational efficiency in Kuala Lumpur’s leading medical institutions.</w:t>
      </w:r>
    </w:p>
    <w:bookmarkEnd w:id="21"/>
    <w:bookmarkStart w:id="22" w:name="scope-of-review"/>
    <w:p>
      <w:pPr>
        <w:pStyle w:val="Heading2"/>
      </w:pPr>
      <w:r>
        <w:t xml:space="preserve">2. Scope of Review</w:t>
      </w:r>
    </w:p>
    <w:p>
      <w:pPr>
        <w:pStyle w:val="FirstParagraph"/>
      </w:pPr>
      <w:r>
        <w:t xml:space="preserve">The scope of this assessment covers the following critical areas relevant to the Biomedical Engineer role in the Kuala Lumpur region:</w:t>
      </w:r>
    </w:p>
    <w:p>
      <w:pPr>
        <w:numPr>
          <w:ilvl w:val="0"/>
          <w:numId w:val="1001"/>
        </w:numPr>
        <w:pStyle w:val="Compact"/>
      </w:pPr>
      <w:r>
        <w:t xml:space="preserve">Technical competence in medical device lifecycle management.</w:t>
      </w:r>
    </w:p>
    <w:p>
      <w:pPr>
        <w:numPr>
          <w:ilvl w:val="0"/>
          <w:numId w:val="1001"/>
        </w:numPr>
        <w:pStyle w:val="Compact"/>
      </w:pPr>
      <w:r>
        <w:t xml:space="preserve">Compliance with local regulatory frameworks, including the Medical Device Act 2012.</w:t>
      </w:r>
    </w:p>
    <w:p>
      <w:pPr>
        <w:numPr>
          <w:ilvl w:val="0"/>
          <w:numId w:val="1001"/>
        </w:numPr>
        <w:pStyle w:val="Compact"/>
      </w:pPr>
      <w:r>
        <w:t xml:space="preserve">Adherence to safety protocols and risk management strategies.</w:t>
      </w:r>
    </w:p>
    <w:p>
      <w:pPr>
        <w:numPr>
          <w:ilvl w:val="0"/>
          <w:numId w:val="1001"/>
        </w:numPr>
        <w:pStyle w:val="Compact"/>
      </w:pPr>
      <w:r>
        <w:t xml:space="preserve">Collaboration with clinical staff and multidisciplinary teams.</w:t>
      </w:r>
    </w:p>
    <w:p>
      <w:pPr>
        <w:numPr>
          <w:ilvl w:val="0"/>
          <w:numId w:val="1001"/>
        </w:numPr>
        <w:pStyle w:val="Compact"/>
      </w:pPr>
      <w:r>
        <w:t xml:space="preserve">Continuous professional development and innovation.</w:t>
      </w:r>
    </w:p>
    <w:bookmarkEnd w:id="22"/>
    <w:bookmarkStart w:id="23" w:name="technical-competency-and-performance"/>
    <w:p>
      <w:pPr>
        <w:pStyle w:val="Heading2"/>
      </w:pPr>
      <w:r>
        <w:t xml:space="preserve">3. Technical Competency and Performance</w:t>
      </w:r>
    </w:p>
    <w:p>
      <w:pPr>
        <w:pStyle w:val="FirstParagraph"/>
      </w:pPr>
      <w:r>
        <w:t xml:space="preserve">The Biomedical Engineer has demonstrated a robust understanding of complex medical systems, ranging from diagnostic imaging equipment to life-support systems. In the context of Malaysia Kuala Lumpur, where healthcare facilities are increasingly adopting advanced digital health solutions, the engineer’s ability to troubleshoot and maintain high-tech equipment is paramount.</w:t>
      </w:r>
    </w:p>
    <w:p>
      <w:pPr>
        <w:pStyle w:val="BodyText"/>
      </w:pPr>
      <w:r>
        <w:t xml:space="preserve">During the review period, the engineer successfully managed the preventive maintenance schedules for critical care units. Their technical reports were detailed, accurate, and compliant with international standards such as IEC 60601. The engineer showed particular proficiency in integrating new software updates into existing hardware without disrupting clinical workflows, a skill that is essential in the fast-paced environment of Kuala Lumpur’s tertiary hospitals.</w:t>
      </w:r>
    </w:p>
    <w:p>
      <w:pPr>
        <w:pStyle w:val="BodyText"/>
      </w:pPr>
      <w:r>
        <w:t xml:space="preserve">Furthermore, the engineer’s approach to root cause analysis during equipment failures was methodical and effective. By minimizing downtime, they contributed significantly to the operational continuity of the healthcare facility. This level of technical diligence is crucial for maintaining the reputation of medical institutions in Malaysia Kuala Lumpur as centers of excellence.</w:t>
      </w:r>
    </w:p>
    <w:bookmarkEnd w:id="23"/>
    <w:bookmarkStart w:id="24" w:name="Xc1bf6019d7c7f546cd756b019a9b2d8bdab0c79"/>
    <w:p>
      <w:pPr>
        <w:pStyle w:val="Heading2"/>
      </w:pPr>
      <w:r>
        <w:t xml:space="preserve">4. Regulatory Compliance and Safety Standards</w:t>
      </w:r>
    </w:p>
    <w:p>
      <w:pPr>
        <w:pStyle w:val="FirstParagraph"/>
      </w:pPr>
      <w:r>
        <w:t xml:space="preserve">A critical aspect of this Peer Review Report is the evaluation of regulatory compliance. The Biomedical Engineer has consistently adhered to the guidelines issued by the National Medical Device Regulatory Agency (MediTech) in Malaysia. Their work reflects a deep understanding of the legal obligations associated with medical device management in Malaysia Kuala Lumpur.</w:t>
      </w:r>
    </w:p>
    <w:p>
      <w:pPr>
        <w:pStyle w:val="BodyText"/>
      </w:pPr>
      <w:r>
        <w:t xml:space="preserve">Safety audits conducted during the review period revealed that all equipment under the engineer’s supervision met the required safety thresholds. The engineer proactively identified potential hazards and implemented corrective actions before they could impact patient care. This proactive stance is vital in a densely populated urban center like Kuala Lumpur, where the volume of patients and the complexity of cases demand uncompromising safety standards.</w:t>
      </w:r>
    </w:p>
    <w:bookmarkEnd w:id="24"/>
    <w:bookmarkStart w:id="25" w:name="Xf1502da7112a09fe88a2048091522c97086e2df"/>
    <w:p>
      <w:pPr>
        <w:pStyle w:val="Heading2"/>
      </w:pPr>
      <w:r>
        <w:t xml:space="preserve">5. Professional Collaboration and Communication</w:t>
      </w:r>
    </w:p>
    <w:p>
      <w:pPr>
        <w:pStyle w:val="FirstParagraph"/>
      </w:pPr>
      <w:r>
        <w:t xml:space="preserve">Effective communication is a cornerstone of the Biomedical Engineer’s role. The review highlights the engineer’s ability to bridge the gap between technical specifications and clinical needs. In Malaysia Kuala Lumpur, where healthcare teams are diverse and multidisciplinary, this skill is particularly valuable.</w:t>
      </w:r>
    </w:p>
    <w:p>
      <w:pPr>
        <w:pStyle w:val="BodyText"/>
      </w:pPr>
      <w:r>
        <w:t xml:space="preserve">The engineer has been praised by clinical staff for their responsiveness and clarity when explaining technical issues. They have actively participated in training sessions for hospital staff, ensuring that users are competent in operating medical devices safely. This collaborative approach fosters a culture of safety and efficiency, which is essential for the high standards expected in Kuala Lumpur’s healthcare sector.</w:t>
      </w:r>
    </w:p>
    <w:bookmarkEnd w:id="25"/>
    <w:bookmarkStart w:id="26" w:name="areas-for-improvement"/>
    <w:p>
      <w:pPr>
        <w:pStyle w:val="Heading2"/>
      </w:pPr>
      <w:r>
        <w:t xml:space="preserve">6. Areas for Improvement</w:t>
      </w:r>
    </w:p>
    <w:p>
      <w:pPr>
        <w:pStyle w:val="FirstParagraph"/>
      </w:pPr>
      <w:r>
        <w:t xml:space="preserve">While the Biomedical Engineer has performed commendably, this Peer Review Report identifies areas for further development:</w:t>
      </w:r>
    </w:p>
    <w:p>
      <w:pPr>
        <w:numPr>
          <w:ilvl w:val="0"/>
          <w:numId w:val="1002"/>
        </w:numPr>
        <w:pStyle w:val="Compact"/>
      </w:pPr>
      <w:r>
        <w:rPr>
          <w:bCs/>
          <w:b/>
        </w:rPr>
        <w:t xml:space="preserve">Advanced Data Analytics:</w:t>
      </w:r>
      <w:r>
        <w:t xml:space="preserve"> </w:t>
      </w:r>
      <w:r>
        <w:t xml:space="preserve">The engineer should enhance their skills in utilizing data analytics for predictive maintenance, leveraging the growing digital infrastructure in Malaysia Kuala Lumpur.</w:t>
      </w:r>
    </w:p>
    <w:p>
      <w:pPr>
        <w:numPr>
          <w:ilvl w:val="0"/>
          <w:numId w:val="1002"/>
        </w:numPr>
        <w:pStyle w:val="Compact"/>
      </w:pPr>
      <w:r>
        <w:rPr>
          <w:bCs/>
          <w:b/>
        </w:rPr>
        <w:t xml:space="preserve">Leadership Skills:</w:t>
      </w:r>
      <w:r>
        <w:t xml:space="preserve"> </w:t>
      </w:r>
      <w:r>
        <w:t xml:space="preserve">As the healthcare landscape evolves, developing leadership capabilities will be beneficial for managing larger teams and projects.</w:t>
      </w:r>
    </w:p>
    <w:p>
      <w:pPr>
        <w:numPr>
          <w:ilvl w:val="0"/>
          <w:numId w:val="1002"/>
        </w:numPr>
        <w:pStyle w:val="Compact"/>
      </w:pPr>
      <w:r>
        <w:rPr>
          <w:bCs/>
          <w:b/>
        </w:rPr>
        <w:t xml:space="preserve">Research Contribution:</w:t>
      </w:r>
      <w:r>
        <w:t xml:space="preserve"> </w:t>
      </w:r>
      <w:r>
        <w:t xml:space="preserve">Encouraging participation in local research initiatives could further elevate the engineer’s professional profile and contribute to the advancement of biomedical engineering in Malaysia.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Biomedical Engineer meets and, in many aspects, exceeds the professional standards required for their role in Malaysia Kuala Lumpur. Their technical expertise, commitment to safety, and collaborative spirit make them a valuable asset to the healthcare community.</w:t>
      </w:r>
    </w:p>
    <w:p>
      <w:pPr>
        <w:pStyle w:val="BodyText"/>
      </w:pPr>
      <w:r>
        <w:t xml:space="preserve">It is recommended that the engineer continues their current trajectory while focusing on the identified areas for improvement. Regular peer reviews should be conducted to ensure ongoing compliance and professional growth. The engineer’s contributions are instrumental in maintaining the high quality of healthcare services in Malaysia Kuala Lumpur, and their continued development will further enhance the region’s medical capabilities.</w:t>
      </w:r>
    </w:p>
    <w:bookmarkEnd w:id="27"/>
    <w:p>
      <w:pPr>
        <w:pStyle w:val="BodyText"/>
      </w:pPr>
      <w:r>
        <w:rPr>
          <w:bCs/>
          <w:b/>
        </w:rPr>
        <w:t xml:space="preserve">Reviewed by:</w:t>
      </w:r>
    </w:p>
    <w:p>
      <w:pPr>
        <w:pStyle w:val="BodyText"/>
      </w:pPr>
      <w:r>
        <w:t xml:space="preserve">__________________________</w:t>
      </w:r>
    </w:p>
    <w:p>
      <w:pPr>
        <w:pStyle w:val="BodyText"/>
      </w:pPr>
      <w:r>
        <w:t xml:space="preserve">Senior Biomedical Engineer</w:t>
      </w:r>
    </w:p>
    <w:p>
      <w:pPr>
        <w:pStyle w:val="BodyText"/>
      </w:pPr>
      <w:r>
        <w:t xml:space="preserve">Engineering Council of Malaysia</w:t>
      </w:r>
    </w:p>
    <w:p>
      <w:pPr>
        <w:pStyle w:val="BodyText"/>
      </w:pPr>
      <w:r>
        <w:t xml:space="preserve">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2026-10-10T08:50:59Z</dcterms:created>
  <dcterms:modified xsi:type="dcterms:W3CDTF">2026-10-10T08:50:59Z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