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Biomedical Engineer operating within the United Kingdom Birmingham region. The purpose of this review is to ensure that the engineer adheres to the highest standards of practice, aligns with regulatory requirements, and contributes effectively to the advancement of biomedical engineering in the local healthcare ecosystem.</w:t>
      </w:r>
    </w:p>
    <w:p>
      <w:pPr>
        <w:pStyle w:val="BodyText"/>
      </w:pPr>
      <w:r>
        <w:t xml:space="preserve">The review process involved a comprehensive assessment of the engineer’s work, including project documentation, technical reports, collaboration with healthcare professionals, and adherence to safety protocols. The findings presented in this report are based on objective criteria and are intended to provide constructive feedback for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Compliance with United Kingdom regulations and standards, including those set by the Care Quality Commission (CQC) and the Health and Safety Executive (HSE).</w:t>
      </w:r>
    </w:p>
    <w:p>
      <w:pPr>
        <w:numPr>
          <w:ilvl w:val="0"/>
          <w:numId w:val="1001"/>
        </w:numPr>
        <w:pStyle w:val="Compact"/>
      </w:pPr>
      <w:r>
        <w:t xml:space="preserve">Effectiveness in collaborating with multidisciplinary teams in Birmingham’s healthcare institutions.</w:t>
      </w:r>
    </w:p>
    <w:p>
      <w:pPr>
        <w:numPr>
          <w:ilvl w:val="0"/>
          <w:numId w:val="1001"/>
        </w:numPr>
        <w:pStyle w:val="Compact"/>
      </w:pPr>
      <w:r>
        <w:t xml:space="preserve">Commitment to ethical practices and patient safety.</w:t>
      </w:r>
    </w:p>
    <w:p>
      <w:pPr>
        <w:numPr>
          <w:ilvl w:val="0"/>
          <w:numId w:val="1001"/>
        </w:numPr>
        <w:pStyle w:val="Compact"/>
      </w:pPr>
      <w:r>
        <w:t xml:space="preserve">Innovation and contribution to the field of biomedical engineering.</w:t>
      </w:r>
    </w:p>
    <w:p>
      <w:pPr>
        <w:pStyle w:val="FirstParagraph"/>
      </w:pPr>
      <w:r>
        <w:t xml:space="preserve">The review was conducted in accordance with the guidelines established by the Institution of Engineering and Technology (IET) and the British Medical Engineering &amp; Physics Society (BMEPS).</w:t>
      </w:r>
    </w:p>
    <w:bookmarkEnd w:id="22"/>
    <w:bookmarkStart w:id="23" w:name="technical-competence"/>
    <w:p>
      <w:pPr>
        <w:pStyle w:val="Heading2"/>
      </w:pPr>
      <w:r>
        <w:t xml:space="preserve">3. Technical Competence</w:t>
      </w:r>
    </w:p>
    <w:p>
      <w:pPr>
        <w:pStyle w:val="FirstParagraph"/>
      </w:pPr>
      <w:r>
        <w:t xml:space="preserve">The Biomedical Engineer demonstrated a strong foundation in technical knowledge and practical skills. Their work in designing, maintaining, and troubleshooting medical devices and systems was thorough and aligned with industry best practices. Specific areas of excellence included:</w:t>
      </w:r>
    </w:p>
    <w:p>
      <w:pPr>
        <w:numPr>
          <w:ilvl w:val="0"/>
          <w:numId w:val="1002"/>
        </w:numPr>
        <w:pStyle w:val="Compact"/>
      </w:pPr>
      <w:r>
        <w:t xml:space="preserve">Proficiency in the use of advanced diagnostic imaging equipment and patient monitoring systems.</w:t>
      </w:r>
    </w:p>
    <w:p>
      <w:pPr>
        <w:numPr>
          <w:ilvl w:val="0"/>
          <w:numId w:val="1002"/>
        </w:numPr>
        <w:pStyle w:val="Compact"/>
      </w:pPr>
      <w:r>
        <w:t xml:space="preserve">Effective implementation of preventive maintenance programs to minimize equipment downtime.</w:t>
      </w:r>
    </w:p>
    <w:p>
      <w:pPr>
        <w:numPr>
          <w:ilvl w:val="0"/>
          <w:numId w:val="1002"/>
        </w:numPr>
        <w:pStyle w:val="Compact"/>
      </w:pPr>
      <w:r>
        <w:t xml:space="preserve">Ability to interpret complex technical specifications and translate them into actionable solutions.</w:t>
      </w:r>
    </w:p>
    <w:p>
      <w:pPr>
        <w:pStyle w:val="FirstParagraph"/>
      </w:pPr>
      <w:r>
        <w:t xml:space="preserve">However, there is room for improvement in staying updated with emerging technologies, such as artificial intelligence in medical diagnostics, which is increasingly relevant in Birmingham’s growing healthcare sector.</w:t>
      </w:r>
    </w:p>
    <w:bookmarkEnd w:id="23"/>
    <w:bookmarkStart w:id="24" w:name="regulatory-compliance"/>
    <w:p>
      <w:pPr>
        <w:pStyle w:val="Heading2"/>
      </w:pPr>
      <w:r>
        <w:t xml:space="preserve">4. Regulatory Compliance</w:t>
      </w:r>
    </w:p>
    <w:p>
      <w:pPr>
        <w:pStyle w:val="FirstParagraph"/>
      </w:pPr>
      <w:r>
        <w:t xml:space="preserve">Compliance with United Kingdom regulations is a critical aspect of biomedical engineering practice. The engineer under review demonstrated a solid understanding of relevant laws and standards, including the Medical Devices Regulations 2002 and the Data Protection Act 2018. Their work consistently reflected adherence to safety protocols and risk management practices.</w:t>
      </w:r>
    </w:p>
    <w:p>
      <w:pPr>
        <w:pStyle w:val="BodyText"/>
      </w:pPr>
      <w:r>
        <w:t xml:space="preserve">In the context of Birmingham’s healthcare environment, where collaboration with institutions such as the University Hospitals Birmingham NHS Foundation Trust is common, the engineer’s ability to navigate regulatory requirements was commendable. However, greater emphasis on documenting compliance processes would enhance transparency and accountability.</w:t>
      </w:r>
    </w:p>
    <w:bookmarkEnd w:id="24"/>
    <w:bookmarkStart w:id="25" w:name="collaboration-and-communication"/>
    <w:p>
      <w:pPr>
        <w:pStyle w:val="Heading2"/>
      </w:pPr>
      <w:r>
        <w:t xml:space="preserve">5. Collaboration and Communication</w:t>
      </w:r>
    </w:p>
    <w:p>
      <w:pPr>
        <w:pStyle w:val="FirstParagraph"/>
      </w:pPr>
      <w:r>
        <w:t xml:space="preserve">Effective collaboration with healthcare professionals is essential for a Biomedical Engineer to deliver impactful solutions. The engineer exhibited strong communication skills, actively engaging with clinicians, technicians, and administrative staff in Birmingham’s healthcare facilities. Their ability to explain technical concepts in accessible terms was particularly noteworthy.</w:t>
      </w:r>
    </w:p>
    <w:p>
      <w:pPr>
        <w:pStyle w:val="BodyText"/>
      </w:pPr>
      <w:r>
        <w:t xml:space="preserve">Nevertheless, there were instances where delays in responding to urgent requests impacted workflow efficiency. Improving responsiveness and prioritization strategies would further enhance their collaborative effectiveness.</w:t>
      </w:r>
    </w:p>
    <w:bookmarkEnd w:id="25"/>
    <w:bookmarkStart w:id="26" w:name="ethical-conduct-and-patient-safety"/>
    <w:p>
      <w:pPr>
        <w:pStyle w:val="Heading2"/>
      </w:pPr>
      <w:r>
        <w:t xml:space="preserve">6. Ethical Conduct and Patient Safety</w:t>
      </w:r>
    </w:p>
    <w:p>
      <w:pPr>
        <w:pStyle w:val="FirstParagraph"/>
      </w:pPr>
      <w:r>
        <w:t xml:space="preserve">Ethical conduct and patient safety are paramount in biomedical engineering. The engineer demonstrated a clear commitment to these principles, ensuring that all devices and systems they worked on met the highest safety standards. Their proactive approach to identifying and mitigating risks was evident in several case studies reviewed during this assessment.</w:t>
      </w:r>
    </w:p>
    <w:p>
      <w:pPr>
        <w:pStyle w:val="BodyText"/>
      </w:pPr>
      <w:r>
        <w:t xml:space="preserve">Additionally, the engineer’s respect for patient confidentiality and data privacy aligned with the expectations of the United Kingdom’s healthcare system. Continued emphasis on ethical decision-making will further strengthen their professional reputation.</w:t>
      </w:r>
    </w:p>
    <w:bookmarkEnd w:id="26"/>
    <w:bookmarkStart w:id="27" w:name="innovation-and-professional-development"/>
    <w:p>
      <w:pPr>
        <w:pStyle w:val="Heading2"/>
      </w:pPr>
      <w:r>
        <w:t xml:space="preserve">7. Innovation and Professional Development</w:t>
      </w:r>
    </w:p>
    <w:p>
      <w:pPr>
        <w:pStyle w:val="FirstParagraph"/>
      </w:pPr>
      <w:r>
        <w:t xml:space="preserve">Innovation is a driving force in biomedical engineering, and the engineer under review showed a willingness to explore new ideas and technologies. Their involvement in local initiatives in Birmingham, such as workshops and seminars organized by BMEPS, highlighted their dedication to professional growth.</w:t>
      </w:r>
    </w:p>
    <w:p>
      <w:pPr>
        <w:pStyle w:val="BodyText"/>
      </w:pPr>
      <w:r>
        <w:t xml:space="preserve">To further contribute to the field, the engineer is encouraged to pursue opportunities for research and development, particularly in areas such as telemedicine and wearable health technologies, which are gaining traction in the United Kingdom.</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knowledge of emerging technologies through targeted training and certifications.</w:t>
      </w:r>
    </w:p>
    <w:p>
      <w:pPr>
        <w:numPr>
          <w:ilvl w:val="0"/>
          <w:numId w:val="1003"/>
        </w:numPr>
        <w:pStyle w:val="Compact"/>
      </w:pPr>
      <w:r>
        <w:t xml:space="preserve">Improve documentation practices to ensure greater transparency in regulatory compliance.</w:t>
      </w:r>
    </w:p>
    <w:p>
      <w:pPr>
        <w:numPr>
          <w:ilvl w:val="0"/>
          <w:numId w:val="1003"/>
        </w:numPr>
        <w:pStyle w:val="Compact"/>
      </w:pPr>
      <w:r>
        <w:t xml:space="preserve">Develop strategies to improve responsiveness to urgent requests in collaborative settings.</w:t>
      </w:r>
    </w:p>
    <w:p>
      <w:pPr>
        <w:numPr>
          <w:ilvl w:val="0"/>
          <w:numId w:val="1003"/>
        </w:numPr>
        <w:pStyle w:val="Compact"/>
      </w:pPr>
      <w:r>
        <w:t xml:space="preserve">Engage more actively in research and innovation projects to contribute to the advancement of biomedical engineering in Birmingham.</w:t>
      </w:r>
    </w:p>
    <w:bookmarkEnd w:id="28"/>
    <w:bookmarkStart w:id="29" w:name="conclusion"/>
    <w:p>
      <w:pPr>
        <w:pStyle w:val="Heading2"/>
      </w:pPr>
      <w:r>
        <w:t xml:space="preserve">9. Conclusion</w:t>
      </w:r>
    </w:p>
    <w:p>
      <w:pPr>
        <w:pStyle w:val="FirstParagraph"/>
      </w:pPr>
      <w:r>
        <w:t xml:space="preserve">This Peer Review Report provides a comprehensive evaluation of the Biomedical Engineer’s performance within the United Kingdom Birmingham region. While the engineer has demonstrated strong technical competence, regulatory compliance, and ethical conduct, there are opportunities for improvement in areas such as innovation and responsiveness. By addressing these recommendations, the engineer can further elevate their professional practice and contribute meaningfully to the healthcare landscape in Birmingham.</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2026-10-10T07:07:29Z</dcterms:created>
  <dcterms:modified xsi:type="dcterms:W3CDTF">2026-10-10T07:07:29Z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