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Strategic Alignment Evaluation</w:t>
      </w:r>
    </w:p>
    <w:p>
      <w:pPr>
        <w:pStyle w:val="BodyText"/>
      </w:pPr>
      <w:r>
        <w:rPr>
          <w:bCs/>
          <w:b/>
        </w:rPr>
        <w:t xml:space="preserve">Role:</w:t>
      </w:r>
      <w:r>
        <w:t xml:space="preserve"> </w:t>
      </w:r>
      <w:r>
        <w:t xml:space="preserve">Business Consultant</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strategic acumen, and cultural adaptability of the designated Business Consultant operating within the dynamic market of Indonesia Jakarta. The purpose of this document is to provide an objective analysis of the consultant's contributions to client engagements, internal team collaboration, and adherence to local business standards. The review focuses on the consultant's ability to navigate the complexities of the Jakarta business landscape, which is characterized by rapid digital transformation, diverse stakeholder expectations, and unique regulatory frameworks.</w:t>
      </w:r>
    </w:p>
    <w:p>
      <w:pPr>
        <w:pStyle w:val="BodyText"/>
      </w:pPr>
      <w:r>
        <w:t xml:space="preserve">The findings indicate a high level of competence in strategic planning and operational efficiency. However, specific areas regarding cross-cultural communication nuances and local regulatory agility have been identified for further development. This report aims to foster professional growth and ensure that the consultant remains a valuable asset to the firm and its clients in the region.</w:t>
      </w:r>
    </w:p>
    <w:bookmarkEnd w:id="21"/>
    <w:bookmarkStart w:id="22" w:name="Xa34e026bc33dc8a2a2bfc0011f36adbced39d5c"/>
    <w:p>
      <w:pPr>
        <w:pStyle w:val="Heading2"/>
      </w:pPr>
      <w:r>
        <w:t xml:space="preserve">2. Contextual Analysis: The Indonesia Jakarta Market</w:t>
      </w:r>
    </w:p>
    <w:p>
      <w:pPr>
        <w:pStyle w:val="FirstParagraph"/>
      </w:pPr>
      <w:r>
        <w:t xml:space="preserve">To accurately assess the Business Consultant, it is imperative to understand the specific context of Indonesia Jakarta. As the economic capital of Indonesia, Jakarta presents a unique environment where traditional business etiquette intersects with modern corporate demands. The market is highly relationship-driven, requiring consultants to possess not only technical expertise but also significant emotional intelligence and cultural sensitivity.</w:t>
      </w:r>
    </w:p>
    <w:p>
      <w:pPr>
        <w:pStyle w:val="BodyText"/>
      </w:pPr>
      <w:r>
        <w:t xml:space="preserve">The consultant is expected to navigate a landscape influenced by local government policies, the rise of digital economy players, and a workforce that values hierarchy yet increasingly demands transparency. Success in this region requires a deep understanding of "Gotong Royong" (mutual cooperation) and the ability to build trust with stakeholders ranging from government officials to startup founders. This Peer Review Report evaluates how effectively the consultant has integrated these local realities into their advisory services.</w:t>
      </w:r>
    </w:p>
    <w:bookmarkEnd w:id="22"/>
    <w:bookmarkStart w:id="26" w:name="evaluation-of-core-competencies"/>
    <w:p>
      <w:pPr>
        <w:pStyle w:val="Heading2"/>
      </w:pPr>
      <w:r>
        <w:t xml:space="preserve">3. Evaluation of Core Competencies</w:t>
      </w:r>
    </w:p>
    <w:bookmarkStart w:id="23" w:name="strategic-advisory-and-problem-solving"/>
    <w:p>
      <w:pPr>
        <w:pStyle w:val="Heading3"/>
      </w:pPr>
      <w:r>
        <w:t xml:space="preserve">3.1 Strategic Advisory and Problem Solving</w:t>
      </w:r>
    </w:p>
    <w:p>
      <w:pPr>
        <w:pStyle w:val="FirstParagraph"/>
      </w:pPr>
      <w:r>
        <w:t xml:space="preserve">The Business Consultant has demonstrated strong analytical skills in diagnosing organizational challenges. In recent projects within Jakarta, the consultant successfully identified inefficiencies in supply chain logistics and proposed data-driven solutions that aligned with global best practices while remaining feasible for local implementation. The ability to tailor international frameworks to the specific constraints of the Indonesian market is a notable strength.</w:t>
      </w:r>
    </w:p>
    <w:bookmarkEnd w:id="23"/>
    <w:bookmarkStart w:id="24" w:name="client-relationship-management"/>
    <w:p>
      <w:pPr>
        <w:pStyle w:val="Heading3"/>
      </w:pPr>
      <w:r>
        <w:t xml:space="preserve">3.2 Client Relationship Management</w:t>
      </w:r>
    </w:p>
    <w:p>
      <w:pPr>
        <w:pStyle w:val="FirstParagraph"/>
      </w:pPr>
      <w:r>
        <w:t xml:space="preserve">Building rapport is critical in Indonesia Jakarta. The consultant has shown commendable effort in maintaining regular communication with clients and respecting local business protocols. However, the review notes that while formal interactions are handled professionally, there is room for improvement in informal networking, which is often where significant business decisions are influenced in this region. Strengthening these informal channels will enhance client retention and trust.</w:t>
      </w:r>
    </w:p>
    <w:bookmarkEnd w:id="24"/>
    <w:bookmarkStart w:id="25" w:name="regulatory-and-compliance-awareness"/>
    <w:p>
      <w:pPr>
        <w:pStyle w:val="Heading3"/>
      </w:pPr>
      <w:r>
        <w:t xml:space="preserve">3.3 Regulatory and Compliance Awareness</w:t>
      </w:r>
    </w:p>
    <w:p>
      <w:pPr>
        <w:pStyle w:val="FirstParagraph"/>
      </w:pPr>
      <w:r>
        <w:t xml:space="preserve">Navigating the regulatory environment in Indonesia requires diligence. The consultant has maintained a good grasp of general business laws but occasionally relies heavily on external legal counsel for nuanced local regulations. To operate more autonomously and provide faster value, the consultant should deepen their knowledge of specific Jakarta municipal regulations and national investment laws.</w:t>
      </w:r>
    </w:p>
    <w:bookmarkEnd w:id="25"/>
    <w:bookmarkEnd w:id="26"/>
    <w:bookmarkStart w:id="27" w:name="areas-for-improvement"/>
    <w:p>
      <w:pPr>
        <w:pStyle w:val="Heading2"/>
      </w:pPr>
      <w:r>
        <w:t xml:space="preserve">4. Areas for Improvement</w:t>
      </w:r>
    </w:p>
    <w:p>
      <w:pPr>
        <w:pStyle w:val="FirstParagraph"/>
      </w:pPr>
      <w:r>
        <w:t xml:space="preserve">Based on peer observations and project outcomes, the following areas require focused attention:</w:t>
      </w:r>
    </w:p>
    <w:p>
      <w:pPr>
        <w:numPr>
          <w:ilvl w:val="0"/>
          <w:numId w:val="1001"/>
        </w:numPr>
        <w:pStyle w:val="Compact"/>
      </w:pPr>
      <w:r>
        <w:rPr>
          <w:bCs/>
          <w:b/>
        </w:rPr>
        <w:t xml:space="preserve">Cultural Nuance in Communication:</w:t>
      </w:r>
      <w:r>
        <w:t xml:space="preserve"> </w:t>
      </w:r>
      <w:r>
        <w:t xml:space="preserve">While the consultant is polite, communication styles can sometimes be perceived as too direct for certain traditional Indonesian stakeholders. Adopting a more indirect and harmonious communication approach when delivering critical feedback will improve reception.</w:t>
      </w:r>
    </w:p>
    <w:p>
      <w:pPr>
        <w:numPr>
          <w:ilvl w:val="0"/>
          <w:numId w:val="1001"/>
        </w:numPr>
        <w:pStyle w:val="Compact"/>
      </w:pPr>
      <w:r>
        <w:rPr>
          <w:bCs/>
          <w:b/>
        </w:rPr>
        <w:t xml:space="preserve">Local Market Intelligence:</w:t>
      </w:r>
      <w:r>
        <w:t xml:space="preserve"> </w:t>
      </w:r>
      <w:r>
        <w:t xml:space="preserve">The consultant should invest more time in understanding the competitive landscape of Jakarta, including local competitors and emerging trends in the digital economy, to provide more contextually relevant advice.</w:t>
      </w:r>
    </w:p>
    <w:p>
      <w:pPr>
        <w:numPr>
          <w:ilvl w:val="0"/>
          <w:numId w:val="1001"/>
        </w:numPr>
        <w:pStyle w:val="Compact"/>
      </w:pPr>
      <w:r>
        <w:rPr>
          <w:bCs/>
          <w:b/>
        </w:rPr>
        <w:t xml:space="preserve">Stakeholder Inclusivity:</w:t>
      </w:r>
      <w:r>
        <w:t xml:space="preserve"> </w:t>
      </w:r>
      <w:r>
        <w:t xml:space="preserve">Ensuring that all levels of the client organization, not just top management, are engaged in the consulting process will lead to better implementation of recommendations and higher buy-in.</w:t>
      </w:r>
    </w:p>
    <w:bookmarkEnd w:id="27"/>
    <w:bookmarkStart w:id="28" w:name="recommendations-and-development-plan"/>
    <w:p>
      <w:pPr>
        <w:pStyle w:val="Heading2"/>
      </w:pPr>
      <w:r>
        <w:t xml:space="preserve">5. Recommendations and Development Plan</w:t>
      </w:r>
    </w:p>
    <w:p>
      <w:pPr>
        <w:pStyle w:val="FirstParagraph"/>
      </w:pPr>
      <w:r>
        <w:t xml:space="preserve">To support the continuous development of the Business Consultant, the following actions are recommended:</w:t>
      </w:r>
    </w:p>
    <w:p>
      <w:pPr>
        <w:numPr>
          <w:ilvl w:val="0"/>
          <w:numId w:val="1002"/>
        </w:numPr>
        <w:pStyle w:val="Compact"/>
      </w:pPr>
      <w:r>
        <w:rPr>
          <w:bCs/>
          <w:b/>
        </w:rPr>
        <w:t xml:space="preserve">Cultural Training:</w:t>
      </w:r>
      <w:r>
        <w:t xml:space="preserve"> </w:t>
      </w:r>
      <w:r>
        <w:t xml:space="preserve">Enroll in advanced cross-cultural communication workshops specifically focused on Indonesian business etiquette and negotiation styles.</w:t>
      </w:r>
    </w:p>
    <w:p>
      <w:pPr>
        <w:numPr>
          <w:ilvl w:val="0"/>
          <w:numId w:val="1002"/>
        </w:numPr>
        <w:pStyle w:val="Compact"/>
      </w:pPr>
      <w:r>
        <w:rPr>
          <w:bCs/>
          <w:b/>
        </w:rPr>
        <w:t xml:space="preserve">Local Networking:</w:t>
      </w:r>
      <w:r>
        <w:t xml:space="preserve"> </w:t>
      </w:r>
      <w:r>
        <w:t xml:space="preserve">Actively participate in industry events and chambers of commerce in Jakarta to expand professional networks and gain deeper market insights.</w:t>
      </w:r>
    </w:p>
    <w:p>
      <w:pPr>
        <w:numPr>
          <w:ilvl w:val="0"/>
          <w:numId w:val="1002"/>
        </w:numPr>
        <w:pStyle w:val="Compact"/>
      </w:pPr>
      <w:r>
        <w:rPr>
          <w:bCs/>
          <w:b/>
        </w:rPr>
        <w:t xml:space="preserve">Regulatory Study:</w:t>
      </w:r>
      <w:r>
        <w:t xml:space="preserve"> </w:t>
      </w:r>
      <w:r>
        <w:t xml:space="preserve">Dedicate time each month to review updates in Indonesian business regulations and collaborate with local legal experts to enhance compliance knowledge.</w:t>
      </w:r>
    </w:p>
    <w:p>
      <w:pPr>
        <w:numPr>
          <w:ilvl w:val="0"/>
          <w:numId w:val="1002"/>
        </w:numPr>
        <w:pStyle w:val="Compact"/>
      </w:pPr>
      <w:r>
        <w:rPr>
          <w:bCs/>
          <w:b/>
        </w:rPr>
        <w:t xml:space="preserve">Mentorship:</w:t>
      </w:r>
      <w:r>
        <w:t xml:space="preserve"> </w:t>
      </w:r>
      <w:r>
        <w:t xml:space="preserve">Pair with a senior consultant who has extensive experience in the Southeast Asian market to gain practical insights and guidance.</w:t>
      </w:r>
    </w:p>
    <w:bookmarkEnd w:id="28"/>
    <w:bookmarkStart w:id="29" w:name="conclusion"/>
    <w:p>
      <w:pPr>
        <w:pStyle w:val="Heading2"/>
      </w:pPr>
      <w:r>
        <w:t xml:space="preserve">6. Conclusion</w:t>
      </w:r>
    </w:p>
    <w:p>
      <w:pPr>
        <w:pStyle w:val="FirstParagraph"/>
      </w:pPr>
      <w:r>
        <w:t xml:space="preserve">This Peer Review Report concludes that the Business Consultant is a capable and dedicated professional who contributes significantly to the firm's operations in Indonesia Jakarta. Their technical skills and strategic mindset are strong assets. By addressing the identified areas for improvement, particularly in cultural adaptability and local market intelligence, the consultant will be well-positioned to deliver exceptional value to clients and drive sustainable growth in this vibrant market. The firm remains committed to supporting their professional journey and ensuring their success in the region.</w:t>
      </w:r>
    </w:p>
    <w:bookmarkEnd w:id="29"/>
    <w:p>
      <w:pPr>
        <w:pStyle w:val="BodyText"/>
      </w:pPr>
      <w:r>
        <w:rPr>
          <w:bCs/>
          <w:b/>
        </w:rPr>
        <w:t xml:space="preserve">Prepared by:</w:t>
      </w:r>
    </w:p>
    <w:p>
      <w:pPr>
        <w:pStyle w:val="BodyText"/>
      </w:pPr>
      <w:r>
        <w:t xml:space="preserve">Senior Peer Review Committee</w:t>
      </w:r>
    </w:p>
    <w:p>
      <w:pPr>
        <w:pStyle w:val="BodyText"/>
      </w:pPr>
      <w:r>
        <w:rPr>
          <w:bCs/>
          <w:b/>
        </w:rPr>
        <w:t xml:space="preserve">Approved by:</w:t>
      </w:r>
    </w:p>
    <w:p>
      <w:pPr>
        <w:pStyle w:val="BodyText"/>
      </w:pPr>
      <w:r>
        <w:t xml:space="preserve">Regional Director,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Indonesia Jakarta</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