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Tel</w:t>
      </w:r>
      <w:r>
        <w:t xml:space="preserve"> </w:t>
      </w:r>
      <w:r>
        <w:t xml:space="preserve">Aviv,</w:t>
      </w:r>
      <w:r>
        <w:t xml:space="preserve"> </w:t>
      </w:r>
      <w:r>
        <w:t xml:space="preserve">Israel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Business Consultant</w:t>
      </w:r>
    </w:p>
    <w:p>
      <w:pPr>
        <w:pStyle w:val="BodyText"/>
      </w:pPr>
      <w:r>
        <w:rPr>
          <w:bCs/>
          <w:b/>
        </w:rPr>
        <w:t xml:space="preserve">Location Context:</w:t>
      </w:r>
      <w:r>
        <w:t xml:space="preserve"> </w:t>
      </w:r>
      <w:r>
        <w:t xml:space="preserve">Israel Tel Aviv Market Operations</w:t>
      </w:r>
    </w:p>
    <w:bookmarkEnd w:id="20"/>
    <w:p>
      <w:pPr>
        <w:pStyle w:val="BodyText"/>
      </w:pPr>
      <w:r>
        <w:t xml:space="preserve">Report ID:</w:t>
      </w:r>
      <w:r>
        <w:t xml:space="preserve"> </w:t>
      </w:r>
      <w:r>
        <w:t xml:space="preserve">PR-TLV-2023-089</w:t>
      </w:r>
    </w:p>
    <w:p>
      <w:pPr>
        <w:pStyle w:val="BodyText"/>
      </w:pPr>
      <w:r>
        <w:t xml:space="preserve">Date:</w:t>
      </w:r>
      <w:r>
        <w:t xml:space="preserve"> </w:t>
      </w:r>
      <w:r>
        <w:t xml:space="preserve">October 24, 2023</w:t>
      </w:r>
    </w:p>
    <w:p>
      <w:pPr>
        <w:pStyle w:val="BodyText"/>
      </w:pPr>
      <w:r>
        <w:t xml:space="preserve">Reviewer:</w:t>
      </w:r>
      <w:r>
        <w:t xml:space="preserve"> </w:t>
      </w:r>
      <w:r>
        <w:t xml:space="preserve">Senior Partner, Strategy Division</w:t>
      </w:r>
    </w:p>
    <w:p>
      <w:pPr>
        <w:pStyle w:val="BodyText"/>
      </w:pPr>
      <w:r>
        <w:t xml:space="preserve">Confidentiality:</w:t>
      </w:r>
      <w:r>
        <w:t xml:space="preserve"> </w:t>
      </w:r>
      <w:r>
        <w:t xml:space="preserve">Internal Use Only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conduct, strategic acumen, and operational effectiveness of the designated</w:t>
      </w:r>
      <w:r>
        <w:t xml:space="preserve"> </w:t>
      </w:r>
      <w:r>
        <w:rPr>
          <w:bCs/>
          <w:b/>
        </w:rPr>
        <w:t xml:space="preserve">Business Consultant</w:t>
      </w:r>
      <w:r>
        <w:t xml:space="preserve">. The evaluation focuses specifically on the consultant's performance within the dynamic economic landscape of</w:t>
      </w:r>
      <w:r>
        <w:t xml:space="preserve"> </w:t>
      </w:r>
      <w:r>
        <w:rPr>
          <w:bCs/>
          <w:b/>
        </w:rPr>
        <w:t xml:space="preserve">Israel Tel Aviv</w:t>
      </w:r>
      <w:r>
        <w:t xml:space="preserve">. As the global hub for technology and innovation, Tel Aviv presents unique challenges and opportunities that require a high degree of cultural intelligence, regulatory knowledge, and agile strategic thinking.</w:t>
      </w:r>
    </w:p>
    <w:p>
      <w:pPr>
        <w:pStyle w:val="BodyText"/>
      </w:pPr>
      <w:r>
        <w:t xml:space="preserve">The consultant under review has demonstrated a strong ability to navigate the complexities of the Israeli market. This report details their performance across key competency areas, including stakeholder management, market analysis, and project execution, providing actionable feedback for future professional development.</w:t>
      </w:r>
    </w:p>
    <w:bookmarkEnd w:id="21"/>
    <w:bookmarkStart w:id="22" w:name="contextual-analysis-the-tel-aviv-market"/>
    <w:p>
      <w:pPr>
        <w:pStyle w:val="Heading2"/>
      </w:pPr>
      <w:r>
        <w:t xml:space="preserve">2. Contextual Analysis: The Tel Aviv Market</w:t>
      </w:r>
    </w:p>
    <w:p>
      <w:pPr>
        <w:pStyle w:val="FirstParagraph"/>
      </w:pPr>
      <w:r>
        <w:t xml:space="preserve">To accurately evaluate a</w:t>
      </w:r>
      <w:r>
        <w:t xml:space="preserve"> </w:t>
      </w:r>
      <w:r>
        <w:rPr>
          <w:bCs/>
          <w:b/>
        </w:rPr>
        <w:t xml:space="preserve">Business Consultant</w:t>
      </w:r>
      <w:r>
        <w:t xml:space="preserve"> </w:t>
      </w:r>
      <w:r>
        <w:t xml:space="preserve">in this region, one must understand the specific environment of</w:t>
      </w:r>
      <w:r>
        <w:t xml:space="preserve"> </w:t>
      </w:r>
      <w:r>
        <w:rPr>
          <w:bCs/>
          <w:b/>
        </w:rPr>
        <w:t xml:space="preserve">Israel Tel Aviv</w:t>
      </w:r>
      <w:r>
        <w:t xml:space="preserve">. The city is characterized by a fast-paced startup ecosystem, a highly educated workforce, and a distinct business culture that values direct communication and rapid decision-making.</w:t>
      </w:r>
    </w:p>
    <w:p>
      <w:pPr>
        <w:pStyle w:val="BodyText"/>
      </w:pPr>
      <w:r>
        <w:t xml:space="preserve">The consultant was tasked with advising mid-sized enterprises looking to scale within the local market and expand internationally. Success in this role required not only technical business expertise but also a deep understanding of local labor laws, tax incentives for high-tech firms, and the nuances of Israeli corporate governance. This</w:t>
      </w:r>
      <w:r>
        <w:t xml:space="preserve"> </w:t>
      </w:r>
      <w:r>
        <w:rPr>
          <w:bCs/>
          <w:b/>
        </w:rPr>
        <w:t xml:space="preserve">Peer Review Report</w:t>
      </w:r>
      <w:r>
        <w:t xml:space="preserve"> </w:t>
      </w:r>
      <w:r>
        <w:t xml:space="preserve">assesses how well the consultant adapted to these specific regional requirements.</w:t>
      </w:r>
    </w:p>
    <w:bookmarkEnd w:id="22"/>
    <w:bookmarkStart w:id="26" w:name="competency-assessment"/>
    <w:p>
      <w:pPr>
        <w:pStyle w:val="Heading2"/>
      </w:pPr>
      <w:r>
        <w:t xml:space="preserve">3. Competency Assessment</w:t>
      </w:r>
    </w:p>
    <w:bookmarkStart w:id="23" w:name="X2d090be70f7c105012064daafe96ae40e95cd97"/>
    <w:p>
      <w:pPr>
        <w:pStyle w:val="Heading3"/>
      </w:pPr>
      <w:r>
        <w:t xml:space="preserve">3.1 Strategic Insight and Market Adaptability</w:t>
      </w:r>
    </w:p>
    <w:p>
      <w:pPr>
        <w:pStyle w:val="FirstParagraph"/>
      </w:pPr>
      <w:r>
        <w:t xml:space="preserve">The consultant displayed exceptional strategic insight. In the context of</w:t>
      </w:r>
      <w:r>
        <w:t xml:space="preserve"> </w:t>
      </w:r>
      <w:r>
        <w:rPr>
          <w:bCs/>
          <w:b/>
        </w:rPr>
        <w:t xml:space="preserve">Israel Tel Aviv</w:t>
      </w:r>
      <w:r>
        <w:t xml:space="preserve">, where market trends shift rapidly, the ability to pivot strategies is crucial. The consultant successfully identified emerging opportunities in the FinTech and Cybersecurity sectors, aligning client goals with local market demands. Their ability to interpret local economic data and translate it into actionable business strategies was a standout performance indicator.</w:t>
      </w:r>
    </w:p>
    <w:bookmarkEnd w:id="23"/>
    <w:bookmarkStart w:id="24" w:name="cultural-intelligence-and-communication"/>
    <w:p>
      <w:pPr>
        <w:pStyle w:val="Heading3"/>
      </w:pPr>
      <w:r>
        <w:t xml:space="preserve">3.2 Cultural Intelligence and Communication</w:t>
      </w:r>
    </w:p>
    <w:p>
      <w:pPr>
        <w:pStyle w:val="FirstParagraph"/>
      </w:pPr>
      <w:r>
        <w:t xml:space="preserve">A critical aspect of this</w:t>
      </w:r>
      <w:r>
        <w:t xml:space="preserve"> </w:t>
      </w:r>
      <w:r>
        <w:rPr>
          <w:bCs/>
          <w:b/>
        </w:rPr>
        <w:t xml:space="preserve">Peer Review Report</w:t>
      </w:r>
      <w:r>
        <w:t xml:space="preserve"> </w:t>
      </w:r>
      <w:r>
        <w:t xml:space="preserve">is the evaluation of soft skills. The Israeli business culture is known for its "Dugri" style—direct, honest, and sometimes confrontational communication. The</w:t>
      </w:r>
      <w:r>
        <w:t xml:space="preserve"> </w:t>
      </w:r>
      <w:r>
        <w:rPr>
          <w:bCs/>
          <w:b/>
        </w:rPr>
        <w:t xml:space="preserve">Business Consultant</w:t>
      </w:r>
      <w:r>
        <w:t xml:space="preserve"> </w:t>
      </w:r>
      <w:r>
        <w:t xml:space="preserve">navigated this environment with maturity. They maintained professional relationships with local stakeholders while ensuring that international clients felt supported and understood. Their fluency in both English and Hebrew facilitated smoother negotiations and fostered trust among local partners.</w:t>
      </w:r>
    </w:p>
    <w:bookmarkEnd w:id="24"/>
    <w:bookmarkStart w:id="25" w:name="project-management-and-execution"/>
    <w:p>
      <w:pPr>
        <w:pStyle w:val="Heading3"/>
      </w:pPr>
      <w:r>
        <w:t xml:space="preserve">3.3 Project Management and Execution</w:t>
      </w:r>
    </w:p>
    <w:p>
      <w:pPr>
        <w:pStyle w:val="FirstParagraph"/>
      </w:pPr>
      <w:r>
        <w:t xml:space="preserve">The consultant managed multiple projects simultaneously, adhering to tight deadlines typical of the Tel Aviv tech scene. Their project management methodology was robust, ensuring that deliverables met the high standards expected by clients in this competitive region. However, there were minor instances where risk assessment regarding local regulatory changes could have been more proactive.</w:t>
      </w:r>
    </w:p>
    <w:bookmarkEnd w:id="25"/>
    <w:bookmarkEnd w:id="26"/>
    <w:bookmarkStart w:id="27" w:name="performance-scoring-matrix"/>
    <w:p>
      <w:pPr>
        <w:pStyle w:val="Heading2"/>
      </w:pPr>
      <w:r>
        <w:t xml:space="preserve">4. Performance Scoring Matrix</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Description</w:t>
            </w:r>
          </w:p>
        </w:tc>
        <w:tc>
          <w:tcPr/>
          <w:p>
            <w:pPr>
              <w:pStyle w:val="Compact"/>
              <w:jc w:val="left"/>
            </w:pPr>
            <w:r>
              <w:t xml:space="preserve">Score (1-5)</w:t>
            </w:r>
          </w:p>
        </w:tc>
      </w:tr>
      <w:tr>
        <w:tc>
          <w:tcPr/>
          <w:p>
            <w:pPr>
              <w:pStyle w:val="Compact"/>
              <w:jc w:val="left"/>
            </w:pPr>
            <w:r>
              <w:t xml:space="preserve">Market Knowledge (Tel Aviv)</w:t>
            </w:r>
          </w:p>
        </w:tc>
        <w:tc>
          <w:tcPr/>
          <w:p>
            <w:pPr>
              <w:pStyle w:val="Compact"/>
              <w:jc w:val="left"/>
            </w:pPr>
            <w:r>
              <w:t xml:space="preserve">Understanding of local regulations, economy, and culture.</w:t>
            </w:r>
          </w:p>
        </w:tc>
        <w:tc>
          <w:tcPr/>
          <w:p>
            <w:pPr>
              <w:pStyle w:val="Compact"/>
              <w:jc w:val="left"/>
            </w:pPr>
            <w:r>
              <w:t xml:space="preserve">5</w:t>
            </w:r>
          </w:p>
        </w:tc>
      </w:tr>
      <w:tr>
        <w:tc>
          <w:tcPr/>
          <w:p>
            <w:pPr>
              <w:pStyle w:val="Compact"/>
              <w:jc w:val="left"/>
            </w:pPr>
            <w:r>
              <w:t xml:space="preserve">Strategic Planning</w:t>
            </w:r>
          </w:p>
        </w:tc>
        <w:tc>
          <w:tcPr/>
          <w:p>
            <w:pPr>
              <w:pStyle w:val="Compact"/>
              <w:jc w:val="left"/>
            </w:pPr>
            <w:r>
              <w:t xml:space="preserve">Ability to create viable business models for clients.</w:t>
            </w:r>
          </w:p>
        </w:tc>
        <w:tc>
          <w:tcPr/>
          <w:p>
            <w:pPr>
              <w:pStyle w:val="Compact"/>
              <w:jc w:val="left"/>
            </w:pPr>
            <w:r>
              <w:t xml:space="preserve">5</w:t>
            </w:r>
          </w:p>
        </w:tc>
      </w:tr>
      <w:tr>
        <w:tc>
          <w:tcPr/>
          <w:p>
            <w:pPr>
              <w:pStyle w:val="Compact"/>
              <w:jc w:val="left"/>
            </w:pPr>
            <w:r>
              <w:t xml:space="preserve">Client Relations</w:t>
            </w:r>
          </w:p>
        </w:tc>
        <w:tc>
          <w:tcPr/>
          <w:p>
            <w:pPr>
              <w:pStyle w:val="Compact"/>
              <w:jc w:val="left"/>
            </w:pPr>
            <w:r>
              <w:t xml:space="preserve">Building trust and managing expectations.</w:t>
            </w:r>
          </w:p>
        </w:tc>
        <w:tc>
          <w:tcPr/>
          <w:p>
            <w:pPr>
              <w:pStyle w:val="Compact"/>
              <w:jc w:val="left"/>
            </w:pPr>
            <w:r>
              <w:t xml:space="preserve">4</w:t>
            </w:r>
          </w:p>
        </w:tc>
      </w:tr>
      <w:tr>
        <w:tc>
          <w:tcPr/>
          <w:p>
            <w:pPr>
              <w:pStyle w:val="Compact"/>
              <w:jc w:val="left"/>
            </w:pPr>
            <w:r>
              <w:t xml:space="preserve">Regulatory Compliance</w:t>
            </w:r>
          </w:p>
        </w:tc>
        <w:tc>
          <w:tcPr/>
          <w:p>
            <w:pPr>
              <w:pStyle w:val="Compact"/>
              <w:jc w:val="left"/>
            </w:pPr>
            <w:r>
              <w:t xml:space="preserve">Navigating Israeli legal and tax frameworks.</w:t>
            </w:r>
          </w:p>
        </w:tc>
        <w:tc>
          <w:tcPr/>
          <w:p>
            <w:pPr>
              <w:pStyle w:val="Compact"/>
              <w:jc w:val="left"/>
            </w:pPr>
            <w:r>
              <w:t xml:space="preserve">3</w:t>
            </w:r>
          </w:p>
        </w:tc>
      </w:tr>
      <w:tr>
        <w:tc>
          <w:tcPr/>
          <w:p>
            <w:pPr>
              <w:pStyle w:val="Compact"/>
              <w:jc w:val="left"/>
            </w:pPr>
            <w:r>
              <w:t xml:space="preserve">Adaptability</w:t>
            </w:r>
          </w:p>
        </w:tc>
        <w:tc>
          <w:tcPr/>
          <w:p>
            <w:pPr>
              <w:pStyle w:val="Compact"/>
              <w:jc w:val="left"/>
            </w:pPr>
            <w:r>
              <w:t xml:space="preserve">Response to rapid market changes.</w:t>
            </w:r>
          </w:p>
        </w:tc>
        <w:tc>
          <w:tcPr/>
          <w:p>
            <w:pPr>
              <w:pStyle w:val="Compact"/>
              <w:jc w:val="left"/>
            </w:pPr>
            <w:r>
              <w:t xml:space="preserve">5</w:t>
            </w:r>
          </w:p>
        </w:tc>
      </w:tr>
    </w:tbl>
    <w:bookmarkEnd w:id="27"/>
    <w:bookmarkStart w:id="28" w:name="areas-for-improvement"/>
    <w:p>
      <w:pPr>
        <w:pStyle w:val="Heading2"/>
      </w:pPr>
      <w:r>
        <w:t xml:space="preserve">5. Areas for Improvement</w:t>
      </w:r>
    </w:p>
    <w:p>
      <w:pPr>
        <w:pStyle w:val="FirstParagraph"/>
      </w:pPr>
      <w:r>
        <w:t xml:space="preserve">While the overall performance of the</w:t>
      </w:r>
      <w:r>
        <w:t xml:space="preserve"> </w:t>
      </w:r>
      <w:r>
        <w:rPr>
          <w:bCs/>
          <w:b/>
        </w:rPr>
        <w:t xml:space="preserve">Business Consultant</w:t>
      </w:r>
      <w:r>
        <w:t xml:space="preserve"> </w:t>
      </w:r>
      <w:r>
        <w:t xml:space="preserve">is commendable, this</w:t>
      </w:r>
      <w:r>
        <w:t xml:space="preserve"> </w:t>
      </w:r>
      <w:r>
        <w:rPr>
          <w:bCs/>
          <w:b/>
        </w:rPr>
        <w:t xml:space="preserve">Peer Review Report</w:t>
      </w:r>
      <w:r>
        <w:t xml:space="preserve"> </w:t>
      </w:r>
      <w:r>
        <w:t xml:space="preserve">highlights specific areas for growth.</w:t>
      </w:r>
    </w:p>
    <w:p>
      <w:pPr>
        <w:numPr>
          <w:ilvl w:val="0"/>
          <w:numId w:val="1001"/>
        </w:numPr>
        <w:pStyle w:val="Compact"/>
      </w:pPr>
      <w:r>
        <w:rPr>
          <w:bCs/>
          <w:b/>
        </w:rPr>
        <w:t xml:space="preserve">Regulatory Depth:</w:t>
      </w:r>
      <w:r>
        <w:t xml:space="preserve"> </w:t>
      </w:r>
      <w:r>
        <w:t xml:space="preserve">While general knowledge is strong, a deeper specialization in Israeli tax law for foreign investors would enhance the value proposition.</w:t>
      </w:r>
    </w:p>
    <w:p>
      <w:pPr>
        <w:numPr>
          <w:ilvl w:val="0"/>
          <w:numId w:val="1001"/>
        </w:numPr>
        <w:pStyle w:val="Compact"/>
      </w:pPr>
      <w:r>
        <w:rPr>
          <w:bCs/>
          <w:b/>
        </w:rPr>
        <w:t xml:space="preserve">Network Expansion:</w:t>
      </w:r>
      <w:r>
        <w:t xml:space="preserve"> </w:t>
      </w:r>
      <w:r>
        <w:t xml:space="preserve">The consultant should actively expand their network within the Tel Aviv venture capital community to better facilitate funding rounds for clients.</w:t>
      </w:r>
    </w:p>
    <w:p>
      <w:pPr>
        <w:numPr>
          <w:ilvl w:val="0"/>
          <w:numId w:val="1001"/>
        </w:numPr>
        <w:pStyle w:val="Compact"/>
      </w:pPr>
      <w:r>
        <w:rPr>
          <w:bCs/>
          <w:b/>
        </w:rPr>
        <w:t xml:space="preserve">Documentation:</w:t>
      </w:r>
      <w:r>
        <w:t xml:space="preserve"> </w:t>
      </w:r>
      <w:r>
        <w:t xml:space="preserve">Improving the granularity of project documentation will help in maintaining consistency across different teams operating in the region.</w:t>
      </w:r>
    </w:p>
    <w:bookmarkEnd w:id="28"/>
    <w:bookmarkStart w:id="29" w:name="conclusion-and-recommendations"/>
    <w:p>
      <w:pPr>
        <w:pStyle w:val="Heading2"/>
      </w:pPr>
      <w:r>
        <w:t xml:space="preserve">6. Conclusion and Recommendations</w:t>
      </w:r>
    </w:p>
    <w:p>
      <w:pPr>
        <w:pStyle w:val="FirstParagraph"/>
      </w:pPr>
      <w:r>
        <w:t xml:space="preserve">In conclusion, the</w:t>
      </w:r>
      <w:r>
        <w:t xml:space="preserve"> </w:t>
      </w:r>
      <w:r>
        <w:rPr>
          <w:bCs/>
          <w:b/>
        </w:rPr>
        <w:t xml:space="preserve">Business Consultant</w:t>
      </w:r>
      <w:r>
        <w:t xml:space="preserve"> </w:t>
      </w:r>
      <w:r>
        <w:t xml:space="preserve">has proven to be a valuable asset to the firm, particularly in the challenging and rewarding market of</w:t>
      </w:r>
      <w:r>
        <w:t xml:space="preserve"> </w:t>
      </w:r>
      <w:r>
        <w:rPr>
          <w:bCs/>
          <w:b/>
        </w:rPr>
        <w:t xml:space="preserve">Israel Tel Aviv</w:t>
      </w:r>
      <w:r>
        <w:t xml:space="preserve">. Their ability to blend global best practices with local market realities is a rare and valuable skill set.</w:t>
      </w:r>
    </w:p>
    <w:p>
      <w:pPr>
        <w:pStyle w:val="BodyText"/>
      </w:pPr>
      <w:r>
        <w:t xml:space="preserve">Based on the findings of this</w:t>
      </w:r>
      <w:r>
        <w:t xml:space="preserve"> </w:t>
      </w:r>
      <w:r>
        <w:rPr>
          <w:bCs/>
          <w:b/>
        </w:rPr>
        <w:t xml:space="preserve">Peer Review Report</w:t>
      </w:r>
      <w:r>
        <w:t xml:space="preserve">, it is recommended that the consultant be considered for senior-level projects involving cross-border expansion into the Middle East. Continued professional development in local regulatory frameworks is advised to ensure sustained excellence. The consultant's performance reflects positively on the firm's reputation in the region.</w:t>
      </w:r>
    </w:p>
    <w:p>
      <w:pPr>
        <w:pStyle w:val="BodyText"/>
      </w:pPr>
      <w:r>
        <w:rPr>
          <w:bCs/>
          <w:b/>
        </w:rPr>
        <w:t xml:space="preserve">Reviewed By:</w:t>
      </w:r>
    </w:p>
    <w:p>
      <w:pPr>
        <w:pStyle w:val="BodyText"/>
      </w:pPr>
      <w:r>
        <w:t xml:space="preserve">Senior Partner</w:t>
      </w:r>
    </w:p>
    <w:p>
      <w:pPr>
        <w:pStyle w:val="BodyText"/>
      </w:pPr>
      <w:r>
        <w:t xml:space="preserve">Strategy &amp; Operations</w:t>
      </w:r>
    </w:p>
    <w:p>
      <w:pPr>
        <w:pStyle w:val="BodyText"/>
      </w:pPr>
      <w:r>
        <w:rPr>
          <w:bCs/>
          <w:b/>
        </w:rPr>
        <w:t xml:space="preserve">Consultant Acknowledgement:</w:t>
      </w:r>
    </w:p>
    <w:p>
      <w:pPr>
        <w:pStyle w:val="BodyText"/>
      </w:pPr>
      <w:r>
        <w:t xml:space="preserve">Name:</w:t>
      </w:r>
    </w:p>
    <w:p>
      <w:pPr>
        <w:pStyle w:val="BodyText"/>
      </w:pPr>
      <w:r>
        <w:t xml:space="preserve">Date:</w:t>
      </w:r>
    </w:p>
    <w:p>
      <w:pPr>
        <w:pStyle w:val="BodyText"/>
      </w:pPr>
      <w:r>
        <w:t xml:space="preserve">© 2023 Corporate Strategy Group. All rights reserved. This document is confidential and intended solely for the use of the individual or entity to whom it is addressed.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Tel Aviv, Israel</dc:title>
  <dc:creator/>
  <dc:language>en</dc:language>
  <cp:keywords/>
  <dcterms:created xsi:type="dcterms:W3CDTF">2026-10-10T05:54:11Z</dcterms:created>
  <dcterms:modified xsi:type="dcterms:W3CDTF">2026-10-10T05:54:11Z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