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Kuala</w:t>
      </w:r>
      <w:r>
        <w:t xml:space="preserve"> </w:t>
      </w:r>
      <w:r>
        <w:t xml:space="preserve">Lumpur,</w:t>
      </w:r>
      <w:r>
        <w:t xml:space="preserve"> </w:t>
      </w:r>
      <w:r>
        <w:t xml:space="preserve">Malaysia</w:t>
      </w:r>
    </w:p>
    <w:bookmarkStart w:id="29" w:name="peer-review-report"/>
    <w:p>
      <w:pPr>
        <w:pStyle w:val="Heading1"/>
      </w:pPr>
      <w:r>
        <w:t xml:space="preserve">Peer Review Report</w:t>
      </w:r>
    </w:p>
    <w:p>
      <w:pPr>
        <w:pStyle w:val="FirstParagraph"/>
      </w:pPr>
      <w:r>
        <w:t xml:space="preserve">Subject of Review</w:t>
      </w:r>
    </w:p>
    <w:p>
      <w:pPr>
        <w:pStyle w:val="BodyText"/>
      </w:pPr>
      <w:r>
        <w:t xml:space="preserve">Business Consultant Performance &amp; Strategy</w:t>
      </w:r>
    </w:p>
    <w:p>
      <w:pPr>
        <w:pStyle w:val="BodyText"/>
      </w:pPr>
      <w:r>
        <w:t xml:space="preserve">Review Date</w:t>
      </w:r>
    </w:p>
    <w:p>
      <w:pPr>
        <w:pStyle w:val="BodyText"/>
      </w:pPr>
      <w:r>
        <w:t xml:space="preserve">October 24, 2023</w:t>
      </w:r>
    </w:p>
    <w:p>
      <w:pPr>
        <w:pStyle w:val="BodyText"/>
      </w:pPr>
      <w:r>
        <w:t xml:space="preserve">Consultant Name</w:t>
      </w:r>
    </w:p>
    <w:p>
      <w:pPr>
        <w:pStyle w:val="BodyText"/>
      </w:pPr>
      <w:r>
        <w:t xml:space="preserve">[Insert Consultant Name]</w:t>
      </w:r>
    </w:p>
    <w:p>
      <w:pPr>
        <w:pStyle w:val="BodyText"/>
      </w:pPr>
      <w:r>
        <w:t xml:space="preserve">Location of Operations</w:t>
      </w:r>
    </w:p>
    <w:p>
      <w:pPr>
        <w:pStyle w:val="BodyText"/>
      </w:pPr>
      <w:r>
        <w:t xml:space="preserve">Malaysia Kuala Lumpur</w:t>
      </w:r>
    </w:p>
    <w:p>
      <w:pPr>
        <w:pStyle w:val="BodyText"/>
      </w:pPr>
      <w:r>
        <w:t xml:space="preserve">Reviewer Name</w:t>
      </w:r>
    </w:p>
    <w:p>
      <w:pPr>
        <w:pStyle w:val="BodyText"/>
      </w:pPr>
      <w:r>
        <w:t xml:space="preserve">[Insert Reviewer Name]</w:t>
      </w:r>
    </w:p>
    <w:p>
      <w:pPr>
        <w:pStyle w:val="BodyText"/>
      </w:pPr>
      <w:r>
        <w:t xml:space="preserve">Reviewer Title</w:t>
      </w:r>
    </w:p>
    <w:p>
      <w:pPr>
        <w:pStyle w:val="BodyText"/>
      </w:pPr>
      <w:r>
        <w:t xml:space="preserve">Senior Partner / Lead Auditor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services, strategic acumen, and operational effectiveness of the designated Business Consultant operating within the dynamic economic landscape of Malaysia Kuala Lumpur. The primary objective of this review is to assess the consultant's adherence to international best practices while ensuring their methodologies are culturally and legally aligned with the specific regulatory environment of the Federal Territory of Kuala Lumpur.</w:t>
      </w:r>
    </w:p>
    <w:p>
      <w:pPr>
        <w:pStyle w:val="BodyText"/>
      </w:pPr>
      <w:r>
        <w:t xml:space="preserve">The review process involved a detailed analysis of client deliverables, stakeholder feedback, financial modeling accuracy, and strategic implementation plans. The findings indicate a high level of competence in navigating the complexities of the Malaysian market, particularly regarding the Multiplier Effect of the Kuala Lumpur Central Business District (CBD) and the broader Klang Valley ecosystem.</w:t>
      </w:r>
    </w:p>
    <w:bookmarkEnd w:id="20"/>
    <w:bookmarkStart w:id="21" w:name="scope-of-review"/>
    <w:p>
      <w:pPr>
        <w:pStyle w:val="Heading2"/>
      </w:pPr>
      <w:r>
        <w:t xml:space="preserve">2. Scope of Review</w:t>
      </w:r>
    </w:p>
    <w:p>
      <w:pPr>
        <w:pStyle w:val="FirstParagraph"/>
      </w:pPr>
      <w:r>
        <w:t xml:space="preserve">The scope of this Peer Review Report encompasses the consultant's performance over the last fiscal quarter. The evaluation focuses on three critical pillars:</w:t>
      </w:r>
    </w:p>
    <w:p>
      <w:pPr>
        <w:numPr>
          <w:ilvl w:val="0"/>
          <w:numId w:val="1001"/>
        </w:numPr>
        <w:pStyle w:val="Compact"/>
      </w:pPr>
      <w:r>
        <w:rPr>
          <w:bCs/>
          <w:b/>
        </w:rPr>
        <w:t xml:space="preserve">Strategic Alignment:</w:t>
      </w:r>
      <w:r>
        <w:t xml:space="preserve"> </w:t>
      </w:r>
      <w:r>
        <w:t xml:space="preserve">How well the Business Consultant's advice aligns with the client's long-term goals within the Malaysian context.</w:t>
      </w:r>
    </w:p>
    <w:p>
      <w:pPr>
        <w:numPr>
          <w:ilvl w:val="0"/>
          <w:numId w:val="1001"/>
        </w:numPr>
        <w:pStyle w:val="Compact"/>
      </w:pPr>
      <w:r>
        <w:rPr>
          <w:bCs/>
          <w:b/>
        </w:rPr>
        <w:t xml:space="preserve">Regulatory Compliance:</w:t>
      </w:r>
      <w:r>
        <w:t xml:space="preserve"> </w:t>
      </w:r>
      <w:r>
        <w:t xml:space="preserve">Adherence to local laws, including the Companies Act 2016, and guidelines set by the Securities Commission Malaysia.</w:t>
      </w:r>
    </w:p>
    <w:p>
      <w:pPr>
        <w:numPr>
          <w:ilvl w:val="0"/>
          <w:numId w:val="1001"/>
        </w:numPr>
        <w:pStyle w:val="Compact"/>
      </w:pPr>
      <w:r>
        <w:rPr>
          <w:bCs/>
          <w:b/>
        </w:rPr>
        <w:t xml:space="preserve">Market Adaptability:</w:t>
      </w:r>
      <w:r>
        <w:t xml:space="preserve"> </w:t>
      </w:r>
      <w:r>
        <w:t xml:space="preserve">The ability to tailor global business frameworks to the unique socio-economic conditions of Malaysia Kuala Lumpur.</w:t>
      </w:r>
    </w:p>
    <w:bookmarkEnd w:id="21"/>
    <w:bookmarkStart w:id="25" w:name="detailed-assessment"/>
    <w:p>
      <w:pPr>
        <w:pStyle w:val="Heading2"/>
      </w:pPr>
      <w:r>
        <w:t xml:space="preserve">3. Detailed Assessment</w:t>
      </w:r>
    </w:p>
    <w:bookmarkStart w:id="22" w:name="X3bd7fc70ed24fb770bd68598105608b5232c300"/>
    <w:p>
      <w:pPr>
        <w:pStyle w:val="Heading3"/>
      </w:pPr>
      <w:r>
        <w:t xml:space="preserve">3.1. Understanding of the Local Market Context</w:t>
      </w:r>
    </w:p>
    <w:p>
      <w:pPr>
        <w:pStyle w:val="FirstParagraph"/>
      </w:pPr>
      <w:r>
        <w:t xml:space="preserve">A critical requirement for any Business Consultant in this region is a profound understanding of the local terrain. The subject of this review has demonstrated exceptional insight into the nuances of Malaysia Kuala Lumpur. The consultant effectively leveraged knowledge of local government initiatives, such as the Malaysia Digital Economy Blueprint (MyDIGITAL), to advise clients on digital transformation.</w:t>
      </w:r>
    </w:p>
    <w:p>
      <w:pPr>
        <w:pStyle w:val="BodyText"/>
      </w:pPr>
      <w:r>
        <w:t xml:space="preserve">Furthermore, the consultant showed a strong grasp of the cultural dynamics inherent in Malaysian business etiquette. This includes the importance of relationship building ("Silat Lidah") and the hierarchical nature of decision-making in local conglomerates. By integrating these cultural factors into their strategic proposals, the consultant ensured higher acceptance rates of their recommendations among local stakeholders.</w:t>
      </w:r>
    </w:p>
    <w:bookmarkEnd w:id="22"/>
    <w:bookmarkStart w:id="23" w:name="strategic-planning-and-execution"/>
    <w:p>
      <w:pPr>
        <w:pStyle w:val="Heading3"/>
      </w:pPr>
      <w:r>
        <w:t xml:space="preserve">3.2. Strategic Planning and Execution</w:t>
      </w:r>
    </w:p>
    <w:p>
      <w:pPr>
        <w:pStyle w:val="FirstParagraph"/>
      </w:pPr>
      <w:r>
        <w:t xml:space="preserve">The Business Consultant was evaluated on their ability to formulate actionable strategies. The review found that the consultant excelled in market entry strategies for foreign entities looking to establish a presence in Kuala Lumpur. The analysis of competitive landscapes within sectors such as FinTech, Logistics, and Tourism was thorough and data-driven.</w:t>
      </w:r>
    </w:p>
    <w:p>
      <w:pPr>
        <w:pStyle w:val="BodyText"/>
      </w:pPr>
      <w:r>
        <w:t xml:space="preserve">However, the Peer Review Report notes an area for improvement regarding the speed of execution. While the strategic frameworks were robust, the implementation timelines occasionally underestimated the bureaucratic processes involved in obtaining approvals from various Malaysian government bodies. Future engagements should include more realistic contingency buffers for regulatory processing times.</w:t>
      </w:r>
    </w:p>
    <w:bookmarkEnd w:id="23"/>
    <w:bookmarkStart w:id="24" w:name="financial-acumen-and-risk-management"/>
    <w:p>
      <w:pPr>
        <w:pStyle w:val="Heading3"/>
      </w:pPr>
      <w:r>
        <w:t xml:space="preserve">3.3. Financial Acumen and Risk Management</w:t>
      </w:r>
    </w:p>
    <w:p>
      <w:pPr>
        <w:pStyle w:val="FirstParagraph"/>
      </w:pPr>
      <w:r>
        <w:t xml:space="preserve">Financial modeling is a cornerstone of business consulting. The consultant demonstrated high proficiency in financial forecasting, taking into account the volatility of the Malaysian Ringgit (MYR) against major global currencies. This is particularly vital for clients in Malaysia Kuala Lumpur who are heavily involved in international trade.</w:t>
      </w:r>
    </w:p>
    <w:p>
      <w:pPr>
        <w:pStyle w:val="BodyText"/>
      </w:pPr>
      <w:r>
        <w:t xml:space="preserve">Risk management protocols were also assessed. The consultant successfully identified potential risks related to supply chain disruptions in the region and proposed viable mitigation strategies. The use of local data sources and collaboration with Malaysian industry bodies added significant credibility to the risk assessments provided.</w:t>
      </w:r>
    </w:p>
    <w:bookmarkEnd w:id="24"/>
    <w:bookmarkEnd w:id="25"/>
    <w:bookmarkStart w:id="26" w:name="compliance-and-ethical-standards"/>
    <w:p>
      <w:pPr>
        <w:pStyle w:val="Heading2"/>
      </w:pPr>
      <w:r>
        <w:t xml:space="preserve">4. Compliance and Ethical Standards</w:t>
      </w:r>
    </w:p>
    <w:p>
      <w:pPr>
        <w:pStyle w:val="FirstParagraph"/>
      </w:pPr>
      <w:r>
        <w:t xml:space="preserve">Integrity is paramount in the consulting profession. This Peer Review Report confirms that the Business Consultant has maintained the highest ethical standards. There were no instances of conflict of interest or breach of confidentiality. The consultant strictly adhered to the code of conduct prescribed by relevant professional bodies in Malaysia, ensuring that all advice was impartial and in the best interest of the client.</w:t>
      </w:r>
    </w:p>
    <w:p>
      <w:pPr>
        <w:pStyle w:val="BodyText"/>
      </w:pPr>
      <w:r>
        <w:t xml:space="preserve">Additionally, the consultant demonstrated a strong commitment to corporate social responsibility (CSR), encouraging clients to align their operations with the United Nations Sustainable Development Goals (SDGs), which is a growing priority for businesses in Malaysia Kuala Lumpur.</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enhance the Business Consultant's future performance:</w:t>
      </w:r>
    </w:p>
    <w:p>
      <w:pPr>
        <w:numPr>
          <w:ilvl w:val="0"/>
          <w:numId w:val="1002"/>
        </w:numPr>
        <w:pStyle w:val="Compact"/>
      </w:pPr>
      <w:r>
        <w:rPr>
          <w:bCs/>
          <w:b/>
        </w:rPr>
        <w:t xml:space="preserve">Enhance Regulatory Agility:</w:t>
      </w:r>
      <w:r>
        <w:t xml:space="preserve"> </w:t>
      </w:r>
      <w:r>
        <w:t xml:space="preserve">Develop a more agile framework for tracking changes in Malaysian tax laws and foreign investment policies to provide real-time advisory services.</w:t>
      </w:r>
    </w:p>
    <w:p>
      <w:pPr>
        <w:numPr>
          <w:ilvl w:val="0"/>
          <w:numId w:val="1002"/>
        </w:numPr>
        <w:pStyle w:val="Compact"/>
      </w:pPr>
      <w:r>
        <w:rPr>
          <w:bCs/>
          <w:b/>
        </w:rPr>
        <w:t xml:space="preserve">Deepen Sector Specialization:</w:t>
      </w:r>
      <w:r>
        <w:t xml:space="preserve"> </w:t>
      </w:r>
      <w:r>
        <w:t xml:space="preserve">While generalist skills are strong, developing deeper expertise in emerging sectors like Green Technology and AI, which are prioritized by the Malaysian government, would add significant value.</w:t>
      </w:r>
    </w:p>
    <w:p>
      <w:pPr>
        <w:numPr>
          <w:ilvl w:val="0"/>
          <w:numId w:val="1002"/>
        </w:numPr>
        <w:pStyle w:val="Compact"/>
      </w:pPr>
      <w:r>
        <w:rPr>
          <w:bCs/>
          <w:b/>
        </w:rPr>
        <w:t xml:space="preserve">Strengthen Local Networks:</w:t>
      </w:r>
      <w:r>
        <w:t xml:space="preserve"> </w:t>
      </w:r>
      <w:r>
        <w:t xml:space="preserve">Continue to expand professional networks within the Kuala Lumpur business community to facilitate faster introductions and partnerships for clients.</w:t>
      </w:r>
    </w:p>
    <w:bookmarkEnd w:id="27"/>
    <w:bookmarkStart w:id="28" w:name="conclusion"/>
    <w:p>
      <w:pPr>
        <w:pStyle w:val="Heading2"/>
      </w:pPr>
      <w:r>
        <w:t xml:space="preserve">6. Conclusion</w:t>
      </w:r>
    </w:p>
    <w:p>
      <w:pPr>
        <w:pStyle w:val="FirstParagraph"/>
      </w:pPr>
      <w:r>
        <w:t xml:space="preserve">In conclusion, this Peer Review Report affirms that the Business Consultant is a highly competent professional capable of delivering high-value strategic advice in the competitive environment of Malaysia Kuala Lumpur. Their ability to blend global best practices with local market realities makes them an invaluable asset to their clients. With minor adjustments to execution timelines and a continued focus on regulatory agility, the consultant is well-positioned for sustained success and growth in the region.</w:t>
      </w:r>
    </w:p>
    <w:p>
      <w:pPr>
        <w:pStyle w:val="BodyText"/>
      </w:pPr>
      <w:r>
        <w:rPr>
          <w:bCs/>
          <w:b/>
        </w:rPr>
        <w:t xml:space="preserve">Reviewed By:</w:t>
      </w:r>
      <w:r>
        <w:br/>
      </w:r>
      <w:r>
        <w:t xml:space="preserve">[Reviewer Name]</w:t>
      </w:r>
      <w:r>
        <w:br/>
      </w:r>
      <w:r>
        <w:t xml:space="preserve">Senior Partner</w:t>
      </w:r>
    </w:p>
    <w:p>
      <w:pPr>
        <w:pStyle w:val="BodyText"/>
      </w:pPr>
      <w:r>
        <w:rPr>
          <w:bCs/>
          <w:b/>
        </w:rPr>
        <w:t xml:space="preserve">Acknowledged By:</w:t>
      </w:r>
      <w:r>
        <w:br/>
      </w:r>
      <w:r>
        <w:t xml:space="preserve">[Consultant Name]</w:t>
      </w:r>
      <w:r>
        <w:br/>
      </w:r>
      <w:r>
        <w:t xml:space="preserve">Business Consultant</w:t>
      </w:r>
    </w:p>
    <w:p>
      <w:pPr>
        <w:pStyle w:val="BodyText"/>
      </w:pPr>
      <w:r>
        <w:t xml:space="preserve">Confidential Document - For Internal Use Only. Generated for Peer Review purposes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Kuala Lumpur, Malaysia</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