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t xml:space="preserve">Professional Evaluation of Business Consultant Performance</w:t>
      </w:r>
    </w:p>
    <w:p>
      <w:pPr>
        <w:pStyle w:val="BodyText"/>
      </w:pPr>
      <w:r>
        <w:t xml:space="preserve">Region:</w:t>
      </w:r>
      <w:r>
        <w:t xml:space="preserve"> </w:t>
      </w:r>
      <w:r>
        <w:t xml:space="preserve">Russia, Saint Petersburg</w:t>
      </w:r>
    </w:p>
    <w:p>
      <w:pPr>
        <w:pStyle w:val="BodyText"/>
      </w:pPr>
      <w:r>
        <w:t xml:space="preserve">Date:</w:t>
      </w:r>
      <w:r>
        <w:t xml:space="preserve"> </w:t>
      </w:r>
      <w:r>
        <w:t xml:space="preserve">October 24, 2023</w:t>
      </w:r>
    </w:p>
    <w:p>
      <w:pPr>
        <w:pStyle w:val="BodyText"/>
      </w:pPr>
      <w:r>
        <w:t xml:space="preserve">Review ID:</w:t>
      </w:r>
      <w:r>
        <w:t xml:space="preserve"> </w:t>
      </w:r>
      <w:r>
        <w:t xml:space="preserve">SPB-BC-2023-089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strategic acumen, and operational effectiveness of a Business Consultant operating within the dynamic economic landscape of Saint Petersburg, Russia. The purpose of this document is to provide an objective assessment based on peer observation, project outcomes, and adherence to local business standards. The consultant under review has demonstrated a robust understanding of the regional market nuances, particularly in navigating the complexities of the North-West Federal District.</w:t>
      </w:r>
    </w:p>
    <w:p>
      <w:pPr>
        <w:pStyle w:val="BodyText"/>
      </w:pPr>
      <w:r>
        <w:t xml:space="preserve">The evaluation focuses on the consultant's ability to deliver actionable insights, manage stakeholder relationships, and adapt to the specific regulatory and cultural environment of Saint Petersburg. Overall, the consultant exhibits a high level of competence, though specific areas regarding cross-departmental communication and localized risk assessment require further refinement.</w:t>
      </w:r>
    </w:p>
    <w:bookmarkEnd w:id="21"/>
    <w:bookmarkStart w:id="22" w:name="subject-profile-and-scope"/>
    <w:p>
      <w:pPr>
        <w:pStyle w:val="Heading2"/>
      </w:pPr>
      <w:r>
        <w:t xml:space="preserve">2. Subject Profile and Scope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Senior Business Consultant</w:t>
            </w:r>
          </w:p>
        </w:tc>
      </w:tr>
      <w:tr>
        <w:tc>
          <w:tcPr/>
          <w:p>
            <w:pPr>
              <w:pStyle w:val="Compact"/>
              <w:jc w:val="left"/>
            </w:pPr>
            <w:r>
              <w:t xml:space="preserve">Location</w:t>
            </w:r>
          </w:p>
        </w:tc>
        <w:tc>
          <w:tcPr/>
          <w:p>
            <w:pPr>
              <w:pStyle w:val="Compact"/>
              <w:jc w:val="left"/>
            </w:pPr>
            <w:r>
              <w:t xml:space="preserve">Saint Petersburg, Russia</w:t>
            </w:r>
          </w:p>
        </w:tc>
      </w:tr>
      <w:tr>
        <w:tc>
          <w:tcPr/>
          <w:p>
            <w:pPr>
              <w:pStyle w:val="Compact"/>
              <w:jc w:val="left"/>
            </w:pPr>
            <w:r>
              <w:t xml:space="preserve">Primary Focus</w:t>
            </w:r>
          </w:p>
        </w:tc>
        <w:tc>
          <w:tcPr/>
          <w:p>
            <w:pPr>
              <w:pStyle w:val="Compact"/>
              <w:jc w:val="left"/>
            </w:pPr>
            <w:r>
              <w:t xml:space="preserve">Strategic Planning, Operational Efficiency, Market Entry</w:t>
            </w:r>
          </w:p>
        </w:tc>
      </w:tr>
      <w:tr>
        <w:tc>
          <w:tcPr/>
          <w:p>
            <w:pPr>
              <w:pStyle w:val="Compact"/>
              <w:jc w:val="left"/>
            </w:pPr>
            <w:r>
              <w:t xml:space="preserve">Review Period</w:t>
            </w:r>
          </w:p>
        </w:tc>
        <w:tc>
          <w:tcPr/>
          <w:p>
            <w:pPr>
              <w:pStyle w:val="Compact"/>
              <w:jc w:val="left"/>
            </w:pPr>
            <w:r>
              <w:t xml:space="preserve">Q1 2023 – Q3 2023</w:t>
            </w:r>
          </w:p>
        </w:tc>
      </w:tr>
      <w:tr>
        <w:tc>
          <w:tcPr/>
          <w:p>
            <w:pPr>
              <w:pStyle w:val="Compact"/>
              <w:jc w:val="left"/>
            </w:pPr>
            <w:r>
              <w:t xml:space="preserve">Reviewers</w:t>
            </w:r>
          </w:p>
        </w:tc>
        <w:tc>
          <w:tcPr/>
          <w:p>
            <w:pPr>
              <w:pStyle w:val="Compact"/>
              <w:jc w:val="left"/>
            </w:pPr>
            <w:r>
              <w:t xml:space="preserve">Senior Management Team &amp; Peer Consultants</w:t>
            </w:r>
          </w:p>
        </w:tc>
      </w:tr>
    </w:tbl>
    <w:bookmarkEnd w:id="22"/>
    <w:bookmarkStart w:id="26" w:name="competency-assessment"/>
    <w:p>
      <w:pPr>
        <w:pStyle w:val="Heading2"/>
      </w:pPr>
      <w:r>
        <w:t xml:space="preserve">3. Competency Assessment</w:t>
      </w:r>
    </w:p>
    <w:bookmarkStart w:id="23" w:name="market-knowledge-and-regional-adaptation"/>
    <w:p>
      <w:pPr>
        <w:pStyle w:val="Heading3"/>
      </w:pPr>
      <w:r>
        <w:t xml:space="preserve">3.1 Market Knowledge and Regional Adaptation</w:t>
      </w:r>
    </w:p>
    <w:p>
      <w:pPr>
        <w:pStyle w:val="FirstParagraph"/>
      </w:pPr>
      <w:r>
        <w:t xml:space="preserve">A critical requirement for any Business Consultant in Saint Petersburg is the ability to navigate the unique intersection of historical industrial heritage and modern digital transformation. The subject has shown exceptional proficiency in understanding the local economic drivers, including the city's status as a major logistics hub and its growing IT sector.</w:t>
      </w:r>
    </w:p>
    <w:p>
      <w:pPr>
        <w:pStyle w:val="BodyText"/>
      </w:pPr>
      <w:r>
        <w:t xml:space="preserve">The consultant successfully tailored strategies for clients in the manufacturing and tourism sectors, demonstrating a deep awareness of local supply chain dynamics. Their ability to interpret regional government incentives and align them with client objectives was rated highly by peers. This localized expertise is vital in Russia, where federal policies often require specific regional implementation strategies.</w:t>
      </w:r>
    </w:p>
    <w:bookmarkEnd w:id="23"/>
    <w:bookmarkStart w:id="24" w:name="strategic-analysis-and-problem-solving"/>
    <w:p>
      <w:pPr>
        <w:pStyle w:val="Heading3"/>
      </w:pPr>
      <w:r>
        <w:t xml:space="preserve">3.2 Strategic Analysis and Problem Solving</w:t>
      </w:r>
    </w:p>
    <w:p>
      <w:pPr>
        <w:pStyle w:val="FirstParagraph"/>
      </w:pPr>
      <w:r>
        <w:t xml:space="preserve">The consultant consistently delivers high-quality strategic frameworks. During the review period, they led a project aimed at optimizing operational workflows for a mid-sized logistics firm based in the Nevsky District. The proposed solutions resulted in a 15% reduction in overhead costs.</w:t>
      </w:r>
    </w:p>
    <w:p>
      <w:pPr>
        <w:pStyle w:val="BodyText"/>
      </w:pPr>
      <w:r>
        <w:t xml:space="preserve">However, while the analytical depth is strong, there is a need to enhance the agility of problem-solving in volatile market conditions. The consultant occasionally relies on traditional models that may not fully account for the rapid shifts in the current Russian economic climate. Adapting to real-time data and emerging geopolitical factors is an area for development.</w:t>
      </w:r>
    </w:p>
    <w:bookmarkEnd w:id="24"/>
    <w:bookmarkStart w:id="25" w:name="client-relationship-management"/>
    <w:p>
      <w:pPr>
        <w:pStyle w:val="Heading3"/>
      </w:pPr>
      <w:r>
        <w:t xml:space="preserve">3.3 Client Relationship Management</w:t>
      </w:r>
    </w:p>
    <w:p>
      <w:pPr>
        <w:pStyle w:val="FirstParagraph"/>
      </w:pPr>
      <w:r>
        <w:t xml:space="preserve">Building trust is paramount in the Russian business culture. The consultant has demonstrated strong interpersonal skills, maintaining professional yet approachable relationships with clients. They are adept at managing expectations and delivering clear, concise reports.</w:t>
      </w:r>
    </w:p>
    <w:p>
      <w:pPr>
        <w:pStyle w:val="BodyText"/>
      </w:pPr>
      <w:r>
        <w:t xml:space="preserve">Feedback from client stakeholders indicates satisfaction with the consultant's responsiveness and professionalism. The ability to communicate complex financial and operational concepts in clear language, both in English and Russian, has been a significant asset in facilitating decision-making processes.</w:t>
      </w:r>
    </w:p>
    <w:bookmarkEnd w:id="25"/>
    <w:bookmarkEnd w:id="26"/>
    <w:bookmarkStart w:id="27" w:name="performance-metrics"/>
    <w:p>
      <w:pPr>
        <w:pStyle w:val="Heading2"/>
      </w:pPr>
      <w:r>
        <w:t xml:space="preserve">4.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Performance Indicator (KPI)</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Quality of Deliverables</w:t>
            </w:r>
          </w:p>
        </w:tc>
        <w:tc>
          <w:tcPr/>
          <w:p>
            <w:pPr>
              <w:pStyle w:val="Compact"/>
              <w:jc w:val="left"/>
            </w:pPr>
            <w:r>
              <w:t xml:space="preserve">5</w:t>
            </w:r>
          </w:p>
        </w:tc>
        <w:tc>
          <w:tcPr/>
          <w:p>
            <w:pPr>
              <w:pStyle w:val="Compact"/>
              <w:jc w:val="left"/>
            </w:pPr>
            <w:r>
              <w:t xml:space="preserve">Exceeds expectations; reports are thorough and data-driven.</w:t>
            </w:r>
          </w:p>
        </w:tc>
      </w:tr>
      <w:tr>
        <w:tc>
          <w:tcPr/>
          <w:p>
            <w:pPr>
              <w:pStyle w:val="Compact"/>
              <w:jc w:val="left"/>
            </w:pPr>
            <w:r>
              <w:t xml:space="preserve">Local Market Insight</w:t>
            </w:r>
          </w:p>
        </w:tc>
        <w:tc>
          <w:tcPr/>
          <w:p>
            <w:pPr>
              <w:pStyle w:val="Compact"/>
              <w:jc w:val="left"/>
            </w:pPr>
            <w:r>
              <w:t xml:space="preserve">5</w:t>
            </w:r>
          </w:p>
        </w:tc>
        <w:tc>
          <w:tcPr/>
          <w:p>
            <w:pPr>
              <w:pStyle w:val="Compact"/>
              <w:jc w:val="left"/>
            </w:pPr>
            <w:r>
              <w:t xml:space="preserve">Strong understanding of Saint Petersburg's business ecosystem.</w:t>
            </w:r>
          </w:p>
        </w:tc>
      </w:tr>
      <w:tr>
        <w:tc>
          <w:tcPr/>
          <w:p>
            <w:pPr>
              <w:pStyle w:val="Compact"/>
              <w:jc w:val="left"/>
            </w:pPr>
            <w:r>
              <w:t xml:space="preserve">Project Management</w:t>
            </w:r>
          </w:p>
        </w:tc>
        <w:tc>
          <w:tcPr/>
          <w:p>
            <w:pPr>
              <w:pStyle w:val="Compact"/>
              <w:jc w:val="left"/>
            </w:pPr>
            <w:r>
              <w:t xml:space="preserve">4</w:t>
            </w:r>
          </w:p>
        </w:tc>
        <w:tc>
          <w:tcPr/>
          <w:p>
            <w:pPr>
              <w:pStyle w:val="Compact"/>
              <w:jc w:val="left"/>
            </w:pPr>
            <w:r>
              <w:t xml:space="preserve">Generally on time, but occasional delays in resource allocation.</w:t>
            </w:r>
          </w:p>
        </w:tc>
      </w:tr>
      <w:tr>
        <w:tc>
          <w:tcPr/>
          <w:p>
            <w:pPr>
              <w:pStyle w:val="Compact"/>
              <w:jc w:val="left"/>
            </w:pPr>
            <w:r>
              <w:t xml:space="preserve">Adaptability to Change</w:t>
            </w:r>
          </w:p>
        </w:tc>
        <w:tc>
          <w:tcPr/>
          <w:p>
            <w:pPr>
              <w:pStyle w:val="Compact"/>
              <w:jc w:val="left"/>
            </w:pPr>
            <w:r>
              <w:t xml:space="preserve">3</w:t>
            </w:r>
          </w:p>
        </w:tc>
        <w:tc>
          <w:tcPr/>
          <w:p>
            <w:pPr>
              <w:pStyle w:val="Compact"/>
              <w:jc w:val="left"/>
            </w:pPr>
            <w:r>
              <w:t xml:space="preserve">Needs improvement in pivoting strategies during market volatility.</w:t>
            </w:r>
          </w:p>
        </w:tc>
      </w:tr>
      <w:tr>
        <w:tc>
          <w:tcPr/>
          <w:p>
            <w:pPr>
              <w:pStyle w:val="Compact"/>
              <w:jc w:val="left"/>
            </w:pPr>
            <w:r>
              <w:t xml:space="preserve">Team Collaboration</w:t>
            </w:r>
          </w:p>
        </w:tc>
        <w:tc>
          <w:tcPr/>
          <w:p>
            <w:pPr>
              <w:pStyle w:val="Compact"/>
              <w:jc w:val="left"/>
            </w:pPr>
            <w:r>
              <w:t xml:space="preserve">4</w:t>
            </w:r>
          </w:p>
        </w:tc>
        <w:tc>
          <w:tcPr/>
          <w:p>
            <w:pPr>
              <w:pStyle w:val="Compact"/>
              <w:jc w:val="left"/>
            </w:pPr>
            <w:r>
              <w:t xml:space="preserve">Effective collaborator, though could delegate more effectively.</w:t>
            </w:r>
          </w:p>
        </w:tc>
      </w:tr>
    </w:tbl>
    <w:bookmarkEnd w:id="27"/>
    <w:bookmarkStart w:id="28" w:name="areas-for-improvement"/>
    <w:p>
      <w:pPr>
        <w:pStyle w:val="Heading2"/>
      </w:pPr>
      <w:r>
        <w:t xml:space="preserve">5. Areas for Improvement</w:t>
      </w:r>
    </w:p>
    <w:p>
      <w:pPr>
        <w:pStyle w:val="FirstParagraph"/>
      </w:pPr>
      <w:r>
        <w:t xml:space="preserve">To further enhance their effectiveness as a Business Consultant in this region, the following areas are identified for development:</w:t>
      </w:r>
    </w:p>
    <w:p>
      <w:pPr>
        <w:numPr>
          <w:ilvl w:val="0"/>
          <w:numId w:val="1001"/>
        </w:numPr>
        <w:pStyle w:val="Compact"/>
      </w:pPr>
      <w:r>
        <w:rPr>
          <w:bCs/>
          <w:b/>
        </w:rPr>
        <w:t xml:space="preserve">Regulatory Agility:</w:t>
      </w:r>
      <w:r>
        <w:t xml:space="preserve"> </w:t>
      </w:r>
      <w:r>
        <w:t xml:space="preserve">While current knowledge is strong, the consultant must stay ahead of rapid changes in Russian commercial law and tax regulations. Proactive updates to clients on regulatory shifts would add significant value.</w:t>
      </w:r>
    </w:p>
    <w:p>
      <w:pPr>
        <w:numPr>
          <w:ilvl w:val="0"/>
          <w:numId w:val="1001"/>
        </w:numPr>
        <w:pStyle w:val="Compact"/>
      </w:pPr>
      <w:r>
        <w:rPr>
          <w:bCs/>
          <w:b/>
        </w:rPr>
        <w:t xml:space="preserve">Digital Transformation Integration:</w:t>
      </w:r>
      <w:r>
        <w:t xml:space="preserve"> </w:t>
      </w:r>
      <w:r>
        <w:t xml:space="preserve">Saint Petersburg is increasingly adopting Industry 4.0 standards. The consultant should deepen their expertise in digital tools and AI-driven analytics to offer more forward-looking solutions.</w:t>
      </w:r>
    </w:p>
    <w:p>
      <w:pPr>
        <w:numPr>
          <w:ilvl w:val="0"/>
          <w:numId w:val="1001"/>
        </w:numPr>
        <w:pStyle w:val="Compact"/>
      </w:pPr>
      <w:r>
        <w:rPr>
          <w:bCs/>
          <w:b/>
        </w:rPr>
        <w:t xml:space="preserve">Cross-Cultural Communication:</w:t>
      </w:r>
      <w:r>
        <w:t xml:space="preserve"> </w:t>
      </w:r>
      <w:r>
        <w:t xml:space="preserve">As the city hosts many international firms, refining communication strategies for diverse, multicultural teams will be beneficial.</w:t>
      </w:r>
    </w:p>
    <w:bookmarkEnd w:id="28"/>
    <w:bookmarkStart w:id="29" w:name="conclusion-and-recommendations"/>
    <w:p>
      <w:pPr>
        <w:pStyle w:val="Heading2"/>
      </w:pPr>
      <w:r>
        <w:t xml:space="preserve">6. Conclusion and Recommendations</w:t>
      </w:r>
    </w:p>
    <w:p>
      <w:pPr>
        <w:pStyle w:val="FirstParagraph"/>
      </w:pPr>
      <w:r>
        <w:t xml:space="preserve">In conclusion, this Peer Review Report affirms that the Business Consultant is a valuable asset to the firm and the broader business community in Saint Petersburg, Russia. Their combination of analytical rigor, local market knowledge, and professional integrity positions them well for continued success.</w:t>
      </w:r>
    </w:p>
    <w:p>
      <w:pPr>
        <w:pStyle w:val="BodyText"/>
      </w:pPr>
      <w:r>
        <w:t xml:space="preserve">It is recommended that the consultant be assigned to lead high-visibility projects involving regional expansion and operational restructuring. Additionally, participation in advanced workshops on digital strategy and regulatory compliance is advised to address the identified areas for improvement. With continued development, this consultant is poised to become a leading expert in the North-West Russian market.</w:t>
      </w:r>
    </w:p>
    <w:bookmarkEnd w:id="29"/>
    <w:p>
      <w:pPr>
        <w:pStyle w:val="BodyText"/>
      </w:pPr>
      <w:r>
        <w:rPr>
          <w:bCs/>
          <w:b/>
        </w:rPr>
        <w:t xml:space="preserve">Lead Reviewer Signature:</w:t>
      </w:r>
    </w:p>
    <w:p>
      <w:pPr>
        <w:pStyle w:val="BodyText"/>
      </w:pPr>
      <w:r>
        <w:t xml:space="preserve">Alexei Volkov</w:t>
      </w:r>
      <w:r>
        <w:br/>
      </w:r>
      <w:r>
        <w:t xml:space="preserve">Senior Partner</w:t>
      </w:r>
    </w:p>
    <w:p>
      <w:pPr>
        <w:pStyle w:val="BodyText"/>
      </w:pPr>
      <w:r>
        <w:rPr>
          <w:bCs/>
          <w:b/>
        </w:rPr>
        <w:t xml:space="preserve">Consultant Acknowledgment:</w:t>
      </w:r>
    </w:p>
    <w:p>
      <w:pPr>
        <w:pStyle w:val="BodyText"/>
      </w:pPr>
      <w:r>
        <w:t xml:space="preserve">[Signature]</w:t>
      </w:r>
      <w:r>
        <w:br/>
      </w:r>
      <w:r>
        <w:t xml:space="preserve">Date: _______________</w:t>
      </w:r>
    </w:p>
    <w:p>
      <w:pPr>
        <w:pStyle w:val="BodyText"/>
      </w:pPr>
      <w:r>
        <w:t xml:space="preserve">© 2023 Internal Peer Review Committee. All rights reserved. Document generated for Saint Petersburg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Saint Petersburg, Russia</dc:title>
  <dc:creator/>
  <dc:language>en</dc:language>
  <cp:keywords/>
  <dcterms:created xsi:type="dcterms:W3CDTF">2026-10-10T03:21:48Z</dcterms:created>
  <dcterms:modified xsi:type="dcterms:W3CDTF">2026-10-10T03:21:48Z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