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Business Consultant</w:t>
      </w:r>
    </w:p>
    <w:p>
      <w:pPr>
        <w:pStyle w:val="BodyText"/>
      </w:pPr>
      <w:r>
        <w:rPr>
          <w:bCs/>
          <w:b/>
        </w:rPr>
        <w:t xml:space="preserve">Location:</w:t>
      </w:r>
      <w:r>
        <w:t xml:space="preserve"> </w:t>
      </w:r>
      <w:r>
        <w:t xml:space="preserve">Jeddah, Saudi Arabia</w:t>
      </w:r>
    </w:p>
    <w:p>
      <w:pPr>
        <w:pStyle w:val="BodyText"/>
      </w:pPr>
      <w:r>
        <w:rPr>
          <w:bCs/>
          <w:b/>
        </w:rPr>
        <w:t xml:space="preserve">Date:</w:t>
      </w:r>
      <w:r>
        <w:t xml:space="preserve"> </w:t>
      </w:r>
      <w:r>
        <w:t xml:space="preserve">October 24, 2023</w:t>
      </w:r>
      <w:r>
        <w:t xml:space="preserve"> </w:t>
      </w:r>
      <w:r>
        <w:rPr>
          <w:bCs/>
          <w:b/>
        </w:rPr>
        <w:t xml:space="preserve">Reviewer:</w:t>
      </w:r>
      <w:r>
        <w:t xml:space="preserve"> </w:t>
      </w:r>
      <w:r>
        <w:t xml:space="preserve">Senior Management Committee</w:t>
      </w:r>
      <w:r>
        <w:t xml:space="preserve"> </w:t>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strategic alignment, and operational effectiveness of the designated</w:t>
      </w:r>
      <w:r>
        <w:t xml:space="preserve"> </w:t>
      </w:r>
      <w:r>
        <w:rPr>
          <w:bCs/>
          <w:b/>
        </w:rPr>
        <w:t xml:space="preserve">Business Consultant</w:t>
      </w:r>
      <w:r>
        <w:t xml:space="preserve"> </w:t>
      </w:r>
      <w:r>
        <w:t xml:space="preserve">operating within the commercial hub of</w:t>
      </w:r>
      <w:r>
        <w:t xml:space="preserve"> </w:t>
      </w:r>
      <w:r>
        <w:rPr>
          <w:bCs/>
          <w:b/>
        </w:rPr>
        <w:t xml:space="preserve">Saudi Arabia Jeddah</w:t>
      </w:r>
      <w:r>
        <w:t xml:space="preserve">. The purpose of this evaluation is to ensure that the consultant's methodologies, deliverables, and advisory services align with the rigorous standards expected in the Kingdom’s rapidly evolving economic landscape.</w:t>
      </w:r>
    </w:p>
    <w:p>
      <w:pPr>
        <w:pStyle w:val="BodyText"/>
      </w:pPr>
      <w:r>
        <w:t xml:space="preserve">Jeddah, as the gateway to the Kingdom and a primary center for trade and commerce, presents unique challenges and opportunities. The consultant has been tasked with navigating complex regulatory environments, fostering cross-cultural business relationships, and driving growth strategies that resonate with Vision 2030 objectives. This report details the findings from a three-month observation period, focusing on technical expertise, cultural intelligence, and tangible business outcomes.</w:t>
      </w:r>
    </w:p>
    <w:bookmarkEnd w:id="21"/>
    <w:bookmarkStart w:id="22" w:name="strategic-alignment-with-vision-2030"/>
    <w:p>
      <w:pPr>
        <w:pStyle w:val="Heading2"/>
      </w:pPr>
      <w:r>
        <w:t xml:space="preserve">2. Strategic Alignment with Vision 2030</w:t>
      </w:r>
    </w:p>
    <w:p>
      <w:pPr>
        <w:pStyle w:val="FirstParagraph"/>
      </w:pPr>
      <w:r>
        <w:t xml:space="preserve">A critical component of any</w:t>
      </w:r>
      <w:r>
        <w:t xml:space="preserve"> </w:t>
      </w:r>
      <w:r>
        <w:rPr>
          <w:bCs/>
          <w:b/>
        </w:rPr>
        <w:t xml:space="preserve">Business Consultant</w:t>
      </w:r>
      <w:r>
        <w:t xml:space="preserve"> </w:t>
      </w:r>
      <w:r>
        <w:t xml:space="preserve">operating in</w:t>
      </w:r>
      <w:r>
        <w:t xml:space="preserve"> </w:t>
      </w:r>
      <w:r>
        <w:rPr>
          <w:bCs/>
          <w:b/>
        </w:rPr>
        <w:t xml:space="preserve">Saudi Arabia Jeddah</w:t>
      </w:r>
      <w:r>
        <w:t xml:space="preserve"> </w:t>
      </w:r>
      <w:r>
        <w:t xml:space="preserve">is their ability to align client strategies with the national Vision 2030 framework. The peer review committee evaluated the consultant’s understanding of key sectors such as tourism, logistics, and digital transformation.</w:t>
      </w:r>
    </w:p>
    <w:p>
      <w:pPr>
        <w:numPr>
          <w:ilvl w:val="0"/>
          <w:numId w:val="1001"/>
        </w:numPr>
        <w:pStyle w:val="Compact"/>
      </w:pPr>
      <w:r>
        <w:rPr>
          <w:bCs/>
          <w:b/>
        </w:rPr>
        <w:t xml:space="preserve">Regulatory Compliance:</w:t>
      </w:r>
      <w:r>
        <w:t xml:space="preserve"> </w:t>
      </w:r>
      <w:r>
        <w:t xml:space="preserve">The consultant demonstrated a robust understanding of the Ministry of Commerce regulations and the Saudi Arabian General Investment Authority (SAGIA) requirements. Their guidance on local partnership structures was accurate and timely.</w:t>
      </w:r>
    </w:p>
    <w:p>
      <w:pPr>
        <w:numPr>
          <w:ilvl w:val="0"/>
          <w:numId w:val="1001"/>
        </w:numPr>
        <w:pStyle w:val="Compact"/>
      </w:pPr>
      <w:r>
        <w:rPr>
          <w:bCs/>
          <w:b/>
        </w:rPr>
        <w:t xml:space="preserve">Economic Diversification:</w:t>
      </w:r>
      <w:r>
        <w:t xml:space="preserve"> </w:t>
      </w:r>
      <w:r>
        <w:t xml:space="preserve">Recommendations provided to clients showed a clear focus on diversifying revenue streams, moving away from traditional oil-dependent models toward sustainable, service-oriented business models suitable for the Jeddah market.</w:t>
      </w:r>
    </w:p>
    <w:p>
      <w:pPr>
        <w:numPr>
          <w:ilvl w:val="0"/>
          <w:numId w:val="1001"/>
        </w:numPr>
        <w:pStyle w:val="Compact"/>
      </w:pPr>
      <w:r>
        <w:t xml:space="preserve">Saudiization (Nitaqat):strong&gt;: The consultant actively advised on workforce localization strategies, ensuring clients remained compliant with Nitaqat classifications while optimizing talent acquisition.</w:t>
      </w:r>
    </w:p>
    <w:bookmarkEnd w:id="22"/>
    <w:bookmarkStart w:id="23" w:name="X27ce2e7c71a7b40d984d4ab7cb17ee4e545c836"/>
    <w:p>
      <w:pPr>
        <w:pStyle w:val="Heading2"/>
      </w:pPr>
      <w:r>
        <w:t xml:space="preserve">3. Cultural Intelligence and Stakeholder Management</w:t>
      </w:r>
    </w:p>
    <w:p>
      <w:pPr>
        <w:pStyle w:val="FirstParagraph"/>
      </w:pPr>
      <w:r>
        <w:t xml:space="preserve">Success in</w:t>
      </w:r>
      <w:r>
        <w:t xml:space="preserve"> </w:t>
      </w:r>
      <w:r>
        <w:rPr>
          <w:bCs/>
          <w:b/>
        </w:rPr>
        <w:t xml:space="preserve">Saudi Arabia Jeddah</w:t>
      </w:r>
      <w:r>
        <w:t xml:space="preserve"> </w:t>
      </w:r>
      <w:r>
        <w:t xml:space="preserve">is heavily dependent on cultural nuance and relationship building. This</w:t>
      </w:r>
      <w:r>
        <w:t xml:space="preserve"> </w:t>
      </w:r>
      <w:r>
        <w:rPr>
          <w:bCs/>
          <w:b/>
        </w:rPr>
        <w:t xml:space="preserve">Peer Review Report</w:t>
      </w:r>
      <w:r>
        <w:t xml:space="preserve"> </w:t>
      </w:r>
      <w:r>
        <w:t xml:space="preserve">highlights the consultant’s performance in navigating the local business etiquette and social dynamics.</w:t>
      </w:r>
    </w:p>
    <w:p>
      <w:pPr>
        <w:pStyle w:val="BodyText"/>
      </w:pPr>
      <w:r>
        <w:t xml:space="preserve">The consultant exhibited high levels of cultural intelligence. They effectively managed stakeholder expectations by respecting hierarchical structures and prioritizing face-to-face interactions, which are paramount in Jeddah’s business culture. Their ability to bridge the gap between international corporate standards and local Saudi business practices was noted as a significant strength.</w:t>
      </w:r>
    </w:p>
    <w:p>
      <w:pPr>
        <w:pStyle w:val="BodyText"/>
      </w:pPr>
      <w:r>
        <w:t xml:space="preserve">Furthermore, the consultant’s proficiency in Arabic, combined with their English fluency, facilitated smoother negotiations and clearer communication with government entities and local partners. This bilingual capability is a distinct advantage in the Jeddah market, where language barriers can often impede progress.</w:t>
      </w:r>
    </w:p>
    <w:bookmarkEnd w:id="23"/>
    <w:bookmarkStart w:id="26" w:name="technical-expertise-and-methodology"/>
    <w:p>
      <w:pPr>
        <w:pStyle w:val="Heading2"/>
      </w:pPr>
      <w:r>
        <w:t xml:space="preserve">4. Technical Expertise and Methodology</w:t>
      </w:r>
    </w:p>
    <w:p>
      <w:pPr>
        <w:pStyle w:val="FirstParagraph"/>
      </w:pPr>
      <w:r>
        <w:t xml:space="preserve">The core function of the</w:t>
      </w:r>
      <w:r>
        <w:t xml:space="preserve"> </w:t>
      </w:r>
      <w:r>
        <w:rPr>
          <w:bCs/>
          <w:b/>
        </w:rPr>
        <w:t xml:space="preserve">Business Consultant</w:t>
      </w:r>
      <w:r>
        <w:t xml:space="preserve"> </w:t>
      </w:r>
      <w:r>
        <w:t xml:space="preserve">involves delivering data-driven insights and actionable strategies. The peer review assessed the quality of market research, financial modeling, and operational audits conducted during the review period.</w:t>
      </w:r>
    </w:p>
    <w:bookmarkStart w:id="24" w:name="market-analysis"/>
    <w:p>
      <w:pPr>
        <w:pStyle w:val="Heading3"/>
      </w:pPr>
      <w:r>
        <w:t xml:space="preserve">Market Analysis</w:t>
      </w:r>
    </w:p>
    <w:p>
      <w:pPr>
        <w:pStyle w:val="FirstParagraph"/>
      </w:pPr>
      <w:r>
        <w:t xml:space="preserve">The consultant provided detailed market entry strategies for clients looking to expand within the Red Sea region. Their analysis of Jeddah’s competitive landscape was thorough, identifying key competitors and underserved market segments with precision.</w:t>
      </w:r>
    </w:p>
    <w:bookmarkEnd w:id="24"/>
    <w:bookmarkStart w:id="25" w:name="operational-efficiency"/>
    <w:p>
      <w:pPr>
        <w:pStyle w:val="Heading3"/>
      </w:pPr>
      <w:r>
        <w:t xml:space="preserve">Operational Efficiency</w:t>
      </w:r>
    </w:p>
    <w:p>
      <w:pPr>
        <w:pStyle w:val="FirstParagraph"/>
      </w:pPr>
      <w:r>
        <w:t xml:space="preserve">In terms of operational consulting, the subject successfully implemented lean management principles for a logistics client in the Jeddah Islamic Port area. This resulted in a measurable reduction in overhead costs and an improvement in supply chain turnaround times.</w:t>
      </w:r>
    </w:p>
    <w:bookmarkEnd w:id="25"/>
    <w:bookmarkEnd w:id="26"/>
    <w:bookmarkStart w:id="27" w:name="areas-for-improvement"/>
    <w:p>
      <w:pPr>
        <w:pStyle w:val="Heading2"/>
      </w:pPr>
      <w:r>
        <w:t xml:space="preserve">5.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where the</w:t>
      </w:r>
      <w:r>
        <w:t xml:space="preserve"> </w:t>
      </w:r>
      <w:r>
        <w:rPr>
          <w:bCs/>
          <w:b/>
        </w:rPr>
        <w:t xml:space="preserve">Business Consultant</w:t>
      </w:r>
      <w:r>
        <w:t xml:space="preserve"> </w:t>
      </w:r>
      <w:r>
        <w:t xml:space="preserve">can enhance their effectiveness in the</w:t>
      </w:r>
      <w:r>
        <w:t xml:space="preserve"> </w:t>
      </w:r>
      <w:r>
        <w:rPr>
          <w:bCs/>
          <w:b/>
        </w:rPr>
        <w:t xml:space="preserve">Saudi Arabia Jeddah</w:t>
      </w:r>
      <w:r>
        <w:t xml:space="preserve"> </w:t>
      </w:r>
      <w:r>
        <w:t xml:space="preserve">context.</w:t>
      </w:r>
    </w:p>
    <w:p>
      <w:pPr>
        <w:numPr>
          <w:ilvl w:val="0"/>
          <w:numId w:val="1002"/>
        </w:numPr>
        <w:pStyle w:val="Compact"/>
      </w:pPr>
      <w:r>
        <w:rPr>
          <w:bCs/>
          <w:b/>
        </w:rPr>
        <w:t xml:space="preserve">Digital Transformation Depth:</w:t>
      </w:r>
      <w:r>
        <w:t xml:space="preserve"> </w:t>
      </w:r>
      <w:r>
        <w:t xml:space="preserve">While the consultant understands the need for digitalization, their specific recommendations for integrating AI and advanced analytics into local business operations could be more innovative and tailored to the Saudi tech ecosystem.</w:t>
      </w:r>
    </w:p>
    <w:p>
      <w:pPr>
        <w:numPr>
          <w:ilvl w:val="0"/>
          <w:numId w:val="1002"/>
        </w:numPr>
        <w:pStyle w:val="Compact"/>
      </w:pPr>
      <w:r>
        <w:rPr>
          <w:bCs/>
          <w:b/>
        </w:rPr>
        <w:t xml:space="preserve">Networking Expansion:</w:t>
      </w:r>
      <w:r>
        <w:t xml:space="preserve"> </w:t>
      </w:r>
      <w:r>
        <w:t xml:space="preserve">The consultant should further expand their network within the Jeddah Chamber of Commerce and local startup incubators to provide clients with better access to emerging opportunities and partnerships.</w:t>
      </w:r>
    </w:p>
    <w:p>
      <w:pPr>
        <w:numPr>
          <w:ilvl w:val="0"/>
          <w:numId w:val="1002"/>
        </w:numPr>
        <w:pStyle w:val="Compact"/>
      </w:pPr>
      <w:r>
        <w:rPr>
          <w:bCs/>
          <w:b/>
        </w:rPr>
        <w:t xml:space="preserve">Reporting Frequency:</w:t>
      </w:r>
      <w:r>
        <w:t xml:space="preserve"> </w:t>
      </w:r>
      <w:r>
        <w:t xml:space="preserve">To better serve international clients unfamiliar with the local pace, more frequent interim reports are recommended to ensure transparency and alignment.</w:t>
      </w:r>
    </w:p>
    <w:bookmarkEnd w:id="27"/>
    <w:bookmarkStart w:id="28" w:name="conclusion-and-recommendations"/>
    <w:p>
      <w:pPr>
        <w:pStyle w:val="Heading2"/>
      </w:pPr>
      <w:r>
        <w:t xml:space="preserve">6. Conclusion and Recommendations</w:t>
      </w:r>
    </w:p>
    <w:p>
      <w:pPr>
        <w:pStyle w:val="FirstParagraph"/>
      </w:pPr>
      <w:r>
        <w:t xml:space="preserve">In conclusion, the</w:t>
      </w:r>
      <w:r>
        <w:t xml:space="preserve"> </w:t>
      </w:r>
      <w:r>
        <w:rPr>
          <w:bCs/>
          <w:b/>
        </w:rPr>
        <w:t xml:space="preserve">Business Consultant</w:t>
      </w:r>
      <w:r>
        <w:t xml:space="preserve"> </w:t>
      </w:r>
      <w:r>
        <w:t xml:space="preserve">has demonstrated a high level of competence, cultural sensitivity, and strategic acumen suitable for the dynamic environment of</w:t>
      </w:r>
      <w:r>
        <w:t xml:space="preserve"> </w:t>
      </w:r>
      <w:r>
        <w:rPr>
          <w:bCs/>
          <w:b/>
        </w:rPr>
        <w:t xml:space="preserve">Saudi Arabia Jeddah</w:t>
      </w:r>
      <w:r>
        <w:t xml:space="preserve">. Their contributions have been instrumental in helping clients navigate the complexities of the local market while adhering to national development goals.</w:t>
      </w:r>
    </w:p>
    <w:p>
      <w:pPr>
        <w:pStyle w:val="BodyText"/>
      </w:pPr>
      <w:r>
        <w:rPr>
          <w:bCs/>
          <w:b/>
        </w:rPr>
        <w:t xml:space="preserve">Overall Performance Rating:</w:t>
      </w:r>
      <w:r>
        <w:t xml:space="preserve"> </w:t>
      </w:r>
      <w:r>
        <w:t xml:space="preserve">Exceeds Expectations</w:t>
      </w:r>
    </w:p>
    <w:p>
      <w:pPr>
        <w:pStyle w:val="BodyText"/>
      </w:pPr>
      <w:r>
        <w:rPr>
          <w:bCs/>
          <w:b/>
        </w:rPr>
        <w:t xml:space="preserve">Recommendation:</w:t>
      </w:r>
      <w:r>
        <w:t xml:space="preserve"> </w:t>
      </w:r>
      <w:r>
        <w:t xml:space="preserve">Continue engagement with a focus on deepening digital transformation expertise and expanding local strategic partnerships.</w:t>
      </w:r>
    </w:p>
    <w:p>
      <w:pPr>
        <w:pStyle w:val="BodyText"/>
      </w:pPr>
      <w:r>
        <w:t xml:space="preserve">This</w:t>
      </w:r>
      <w:r>
        <w:t xml:space="preserve"> </w:t>
      </w:r>
      <w:r>
        <w:rPr>
          <w:bCs/>
          <w:b/>
        </w:rPr>
        <w:t xml:space="preserve">Peer Review Report</w:t>
      </w:r>
      <w:r>
        <w:t xml:space="preserve"> </w:t>
      </w:r>
      <w:r>
        <w:t xml:space="preserve">serves as a formal record of the consultant’s achievements and provides a roadmap for future professional development within the Kingdom.</w:t>
      </w:r>
    </w:p>
    <w:bookmarkEnd w:id="28"/>
    <w:p>
      <w:pPr>
        <w:pStyle w:val="BodyText"/>
      </w:pPr>
      <w:r>
        <w:t xml:space="preserve">© 2023 Internal Review Committee. All rights reserved. Document generated for internal assessment purposes in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Jeddah, Saudi Arabia</dc:title>
  <dc:creator/>
  <dc:language>en</dc:language>
  <cp:keywords/>
  <dcterms:created xsi:type="dcterms:W3CDTF">2026-10-10T12:04:45Z</dcterms:created>
  <dcterms:modified xsi:type="dcterms:W3CDTF">2026-10-10T12:04:45Z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