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Strategic Alignment Assessment</w:t>
      </w:r>
    </w:p>
    <w:p>
      <w:pPr>
        <w:pStyle w:val="BodyText"/>
      </w:pPr>
      <w:r>
        <w:rPr>
          <w:bCs/>
          <w:b/>
        </w:rPr>
        <w:t xml:space="preserve">Role:</w:t>
      </w:r>
      <w:r>
        <w:t xml:space="preserve"> </w:t>
      </w:r>
      <w:r>
        <w:t xml:space="preserve">Senior Business Consultant</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Location:</w:t>
      </w:r>
      <w:r>
        <w:t xml:space="preserve"> </w:t>
      </w:r>
      <w:r>
        <w:t xml:space="preserve">Riyadh, Saudi Arabia</w:t>
      </w:r>
    </w:p>
    <w:p>
      <w:pPr>
        <w:pStyle w:val="BodyText"/>
      </w:pPr>
      <w:r>
        <w:rPr>
          <w:bCs/>
          <w:b/>
        </w:rPr>
        <w:t xml:space="preserve">Reviewer:</w:t>
      </w:r>
      <w:r>
        <w:t xml:space="preserve"> </w:t>
      </w:r>
      <w:r>
        <w:t xml:space="preserve">Senior Partner, Strategy Division</w:t>
      </w:r>
    </w:p>
    <w:p>
      <w:pPr>
        <w:pStyle w:val="BodyText"/>
      </w:pPr>
      <w:r>
        <w:rPr>
          <w:bCs/>
          <w:b/>
        </w:rPr>
        <w:t xml:space="preserve">Consultant ID:</w:t>
      </w:r>
      <w:r>
        <w:t xml:space="preserve"> </w:t>
      </w:r>
      <w:r>
        <w:t xml:space="preserve">BC-RYD-2023-089</w:t>
      </w:r>
    </w:p>
    <w:p>
      <w:pPr>
        <w:pStyle w:val="BodyText"/>
      </w:pPr>
      <w:r>
        <w:rPr>
          <w:bCs/>
          <w:b/>
        </w:rPr>
        <w:t xml:space="preserve">Department:</w:t>
      </w:r>
      <w:r>
        <w:t xml:space="preserve"> </w:t>
      </w:r>
      <w:r>
        <w:t xml:space="preserve">Corporate Strategy &amp; Transformation</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strategic acumen, and cultural adaptability of the</w:t>
      </w:r>
      <w:r>
        <w:t xml:space="preserve"> </w:t>
      </w:r>
      <w:r>
        <w:rPr>
          <w:bCs/>
          <w:b/>
        </w:rPr>
        <w:t xml:space="preserve">Business Consultant</w:t>
      </w:r>
      <w:r>
        <w:t xml:space="preserve"> </w:t>
      </w:r>
      <w:r>
        <w:t xml:space="preserve">assigned to key projects within the Riyadh metropolitan area. The review period coincides with a critical phase of economic diversification in</w:t>
      </w:r>
      <w:r>
        <w:t xml:space="preserve"> </w:t>
      </w:r>
      <w:r>
        <w:rPr>
          <w:bCs/>
          <w:b/>
        </w:rPr>
        <w:t xml:space="preserve">Saudi Arabia</w:t>
      </w:r>
      <w:r>
        <w:t xml:space="preserve">, specifically under the framework of Vision 2030. The consultant has demonstrated a robust understanding of the local market dynamics, regulatory environment, and the specific business etiquette required to succeed in Riyadh. Overall, the consultant has delivered high-value insights that align with both international best practices and local Saudi business objectives.</w:t>
      </w:r>
    </w:p>
    <w:bookmarkEnd w:id="21"/>
    <w:bookmarkStart w:id="22" w:name="strategic-alignment-with-vision-2030"/>
    <w:p>
      <w:pPr>
        <w:pStyle w:val="Heading2"/>
      </w:pPr>
      <w:r>
        <w:t xml:space="preserve">2. Strategic Alignment with Vision 2030</w:t>
      </w:r>
    </w:p>
    <w:p>
      <w:pPr>
        <w:pStyle w:val="FirstParagraph"/>
      </w:pPr>
      <w:r>
        <w:t xml:space="preserve">A critical competency for any</w:t>
      </w:r>
      <w:r>
        <w:t xml:space="preserve"> </w:t>
      </w:r>
      <w:r>
        <w:rPr>
          <w:bCs/>
          <w:b/>
        </w:rPr>
        <w:t xml:space="preserve">Business Consultant</w:t>
      </w:r>
      <w:r>
        <w:t xml:space="preserve"> </w:t>
      </w:r>
      <w:r>
        <w:t xml:space="preserve">operating in</w:t>
      </w:r>
      <w:r>
        <w:t xml:space="preserve"> </w:t>
      </w:r>
      <w:r>
        <w:rPr>
          <w:bCs/>
          <w:b/>
        </w:rPr>
        <w:t xml:space="preserve">Saudi Arabia</w:t>
      </w:r>
      <w:r>
        <w:t xml:space="preserve"> </w:t>
      </w:r>
      <w:r>
        <w:t xml:space="preserve">is the ability to align client strategies with the national Vision 2030 goals. This</w:t>
      </w:r>
      <w:r>
        <w:t xml:space="preserve"> </w:t>
      </w:r>
      <w:r>
        <w:rPr>
          <w:bCs/>
          <w:b/>
        </w:rPr>
        <w:t xml:space="preserve">Peer Review Report</w:t>
      </w:r>
      <w:r>
        <w:t xml:space="preserve"> </w:t>
      </w:r>
      <w:r>
        <w:t xml:space="preserve">highlights the consultant's exceptional ability to integrate these national objectives into corporate roadmaps.</w:t>
      </w:r>
    </w:p>
    <w:p>
      <w:pPr>
        <w:pStyle w:val="BodyText"/>
      </w:pPr>
      <w:r>
        <w:t xml:space="preserve">During the review period, the consultant led a transformation project for a mid-sized logistics firm in Riyadh. The consultant successfully identified opportunities to leverage the National Industrial Development and Logistics Program (NIDLP). By advising the client on localization strategies and digital integration, the consultant not only improved operational efficiency but also positioned the client favorably for government tenders. This demonstrates a sophisticated grasp of the macroeconomic landscape in Riyadh and the ability to translate high-level government directives into actionable business strategies.</w:t>
      </w:r>
    </w:p>
    <w:bookmarkEnd w:id="22"/>
    <w:bookmarkStart w:id="23" w:name="X27ce2e7c71a7b40d984d4ab7cb17ee4e545c836"/>
    <w:p>
      <w:pPr>
        <w:pStyle w:val="Heading2"/>
      </w:pPr>
      <w:r>
        <w:t xml:space="preserve">3. Cultural Intelligence and Stakeholder Management</w:t>
      </w:r>
    </w:p>
    <w:p>
      <w:pPr>
        <w:pStyle w:val="FirstParagraph"/>
      </w:pPr>
      <w:r>
        <w:t xml:space="preserve">Operating in Riyadh requires a nuanced understanding of cultural norms, hierarchy, and relationship-building (Wasta). This</w:t>
      </w:r>
      <w:r>
        <w:t xml:space="preserve"> </w:t>
      </w:r>
      <w:r>
        <w:rPr>
          <w:bCs/>
          <w:b/>
        </w:rPr>
        <w:t xml:space="preserve">Peer Review Report</w:t>
      </w:r>
      <w:r>
        <w:t xml:space="preserve"> </w:t>
      </w:r>
      <w:r>
        <w:t xml:space="preserve">assesses the consultant's interpersonal skills and cultural intelligence as a core component of their effectiveness.</w:t>
      </w:r>
    </w:p>
    <w:p>
      <w:pPr>
        <w:pStyle w:val="BodyText"/>
      </w:pPr>
      <w:r>
        <w:t xml:space="preserve">The consultant has shown remarkable proficiency in navigating the social and professional landscape of Riyadh. Feedback from local stakeholders indicates that the consultant respects local customs, observes appropriate protocols during meetings, and builds trust effectively. The consultant’s approach to stakeholder management is characterized by patience and active listening, which are essential traits when dealing with Saudi decision-makers. Furthermore, the consultant has successfully bridged the gap between expatriate technical teams and local Saudi management, fostering a collaborative environment that respects both global standards and local traditions.</w:t>
      </w:r>
    </w:p>
    <w:bookmarkEnd w:id="23"/>
    <w:bookmarkStart w:id="24" w:name="technical-expertise-and-problem-solving"/>
    <w:p>
      <w:pPr>
        <w:pStyle w:val="Heading2"/>
      </w:pPr>
      <w:r>
        <w:t xml:space="preserve">4. Technical Expertise and Problem Solving</w:t>
      </w:r>
    </w:p>
    <w:p>
      <w:pPr>
        <w:pStyle w:val="FirstParagraph"/>
      </w:pPr>
      <w:r>
        <w:t xml:space="preserve">Beyond cultural fit, the core mandate of a</w:t>
      </w:r>
      <w:r>
        <w:t xml:space="preserve"> </w:t>
      </w:r>
      <w:r>
        <w:rPr>
          <w:bCs/>
          <w:b/>
        </w:rPr>
        <w:t xml:space="preserve">Business Consultant</w:t>
      </w:r>
      <w:r>
        <w:t xml:space="preserve"> </w:t>
      </w:r>
      <w:r>
        <w:t xml:space="preserve">is to deliver technical excellence. This</w:t>
      </w:r>
      <w:r>
        <w:t xml:space="preserve"> </w:t>
      </w:r>
      <w:r>
        <w:rPr>
          <w:bCs/>
          <w:b/>
        </w:rPr>
        <w:t xml:space="preserve">Peer Review Report</w:t>
      </w:r>
      <w:r>
        <w:t xml:space="preserve"> </w:t>
      </w:r>
      <w:r>
        <w:t xml:space="preserve">confirms that the consultant maintains a high standard of analytical rigor and strategic thinking.</w:t>
      </w:r>
    </w:p>
    <w:p>
      <w:pPr>
        <w:pStyle w:val="BodyText"/>
      </w:pPr>
      <w:r>
        <w:t xml:space="preserve">The consultant was tasked with optimizing the supply chain operations of a retail client in the Riyadh region. Utilizing advanced data analytics, the consultant identified bottlenecks in the distribution network and proposed a restructured logistics model. The recommendations were data-driven, financially sound, and practically implementable. The consultant’s ability to present complex data in a clear, concise manner to C-suite executives in Riyadh was particularly noteworthy. The proposed solutions resulted in a projected 15% reduction in operational costs, demonstrating tangible value delivery.</w:t>
      </w:r>
    </w:p>
    <w:bookmarkEnd w:id="24"/>
    <w:bookmarkStart w:id="25" w:name="adaptability-and-regulatory-compliance"/>
    <w:p>
      <w:pPr>
        <w:pStyle w:val="Heading2"/>
      </w:pPr>
      <w:r>
        <w:t xml:space="preserve">5. Adaptability and Regulatory Compliance</w:t>
      </w:r>
    </w:p>
    <w:p>
      <w:pPr>
        <w:pStyle w:val="FirstParagraph"/>
      </w:pPr>
      <w:r>
        <w:t xml:space="preserve">The regulatory environment in</w:t>
      </w:r>
      <w:r>
        <w:t xml:space="preserve"> </w:t>
      </w:r>
      <w:r>
        <w:rPr>
          <w:bCs/>
          <w:b/>
        </w:rPr>
        <w:t xml:space="preserve">Saudi Arabia</w:t>
      </w:r>
      <w:r>
        <w:t xml:space="preserve"> </w:t>
      </w:r>
      <w:r>
        <w:t xml:space="preserve">is evolving rapidly, with new laws and regulations being introduced frequently. A</w:t>
      </w:r>
      <w:r>
        <w:t xml:space="preserve"> </w:t>
      </w:r>
      <w:r>
        <w:rPr>
          <w:bCs/>
          <w:b/>
        </w:rPr>
        <w:t xml:space="preserve">Business Consultant</w:t>
      </w:r>
      <w:r>
        <w:t xml:space="preserve"> </w:t>
      </w:r>
      <w:r>
        <w:t xml:space="preserve">must stay abreast of these changes to provide accurate advice. This</w:t>
      </w:r>
      <w:r>
        <w:t xml:space="preserve"> </w:t>
      </w:r>
      <w:r>
        <w:rPr>
          <w:bCs/>
          <w:b/>
        </w:rPr>
        <w:t xml:space="preserve">Peer Review Report</w:t>
      </w:r>
      <w:r>
        <w:t xml:space="preserve"> </w:t>
      </w:r>
      <w:r>
        <w:t xml:space="preserve">notes the consultant’s proactive approach to regulatory compliance.</w:t>
      </w:r>
    </w:p>
    <w:p>
      <w:pPr>
        <w:pStyle w:val="BodyText"/>
      </w:pPr>
      <w:r>
        <w:t xml:space="preserve">The consultant demonstrated a thorough understanding of the Saudi Companies Law, labor regulations (Saudization/Nitaqat), and tax implications (VAT and Zakat). In one instance, the consultant advised a client on restructuring their entity to comply with new foreign investment regulations in Riyadh. This foresight prevented potential legal complications and ensured the client’s operations remained compliant. The consultant’s ability to adapt to changing regulatory frameworks is a significant asset to the firm.</w:t>
      </w:r>
    </w:p>
    <w:bookmarkEnd w:id="25"/>
    <w:bookmarkStart w:id="26" w:name="areas-for-development"/>
    <w:p>
      <w:pPr>
        <w:pStyle w:val="Heading2"/>
      </w:pPr>
      <w:r>
        <w:t xml:space="preserve">6. Areas for Development</w:t>
      </w:r>
    </w:p>
    <w:p>
      <w:pPr>
        <w:pStyle w:val="FirstParagraph"/>
      </w:pPr>
      <w:r>
        <w:t xml:space="preserve">While the consultant’s performance is commendable, this</w:t>
      </w:r>
      <w:r>
        <w:t xml:space="preserve"> </w:t>
      </w:r>
      <w:r>
        <w:rPr>
          <w:bCs/>
          <w:b/>
        </w:rPr>
        <w:t xml:space="preserve">Peer Review Report</w:t>
      </w:r>
      <w:r>
        <w:t xml:space="preserve"> </w:t>
      </w:r>
      <w:r>
        <w:t xml:space="preserve">identifies areas for further growth to enhance their effectiveness in the Riyadh market.</w:t>
      </w:r>
    </w:p>
    <w:p>
      <w:pPr>
        <w:numPr>
          <w:ilvl w:val="0"/>
          <w:numId w:val="1001"/>
        </w:numPr>
        <w:pStyle w:val="Compact"/>
      </w:pPr>
      <w:r>
        <w:rPr>
          <w:bCs/>
          <w:b/>
        </w:rPr>
        <w:t xml:space="preserve">Arabic Language Proficiency:</w:t>
      </w:r>
      <w:r>
        <w:t xml:space="preserve"> </w:t>
      </w:r>
      <w:r>
        <w:t xml:space="preserve">While the consultant’s English is excellent, developing basic Arabic language skills would further enhance rapport with local stakeholders and demonstrate a deeper commitment to the region.</w:t>
      </w:r>
    </w:p>
    <w:p>
      <w:pPr>
        <w:numPr>
          <w:ilvl w:val="0"/>
          <w:numId w:val="1001"/>
        </w:numPr>
        <w:pStyle w:val="Compact"/>
      </w:pPr>
      <w:r>
        <w:rPr>
          <w:bCs/>
          <w:b/>
        </w:rPr>
        <w:t xml:space="preserve">Local Network Expansion:</w:t>
      </w:r>
      <w:r>
        <w:t xml:space="preserve"> </w:t>
      </w:r>
      <w:r>
        <w:t xml:space="preserve">The consultant is encouraged to expand their professional network within Riyadh’s business community, including participation in local chambers of commerce and industry events, to gain deeper market intelligence.</w:t>
      </w:r>
    </w:p>
    <w:p>
      <w:pPr>
        <w:numPr>
          <w:ilvl w:val="0"/>
          <w:numId w:val="1001"/>
        </w:numPr>
        <w:pStyle w:val="Compact"/>
      </w:pPr>
      <w:r>
        <w:rPr>
          <w:bCs/>
          <w:b/>
        </w:rPr>
        <w:t xml:space="preserve">Speed of Decision Making:</w:t>
      </w:r>
      <w:r>
        <w:t xml:space="preserve"> </w:t>
      </w:r>
      <w:r>
        <w:t xml:space="preserve">In some instances, the consultant’s decision-making process was overly cautious. Balancing thoroughness with agility is crucial in the fast-paced Riyadh business environment.</w:t>
      </w:r>
    </w:p>
    <w:bookmarkEnd w:id="26"/>
    <w:bookmarkStart w:id="27" w:name="overall-rating-and-conclusion"/>
    <w:p>
      <w:pPr>
        <w:pStyle w:val="Heading2"/>
      </w:pPr>
      <w:r>
        <w:t xml:space="preserve">7. Overall Rating and Conclusion</w:t>
      </w:r>
    </w:p>
    <w:p>
      <w:pPr>
        <w:pStyle w:val="FirstParagraph"/>
      </w:pPr>
      <w:r>
        <w:rPr>
          <w:bCs/>
          <w:b/>
        </w:rPr>
        <w:t xml:space="preserve">Overall Performance Rating:</w:t>
      </w:r>
      <w:r>
        <w:t xml:space="preserve"> </w:t>
      </w:r>
      <w:r>
        <w:t xml:space="preserve">Exceeds Expectations</w:t>
      </w:r>
    </w:p>
    <w:p>
      <w:pPr>
        <w:pStyle w:val="BodyText"/>
      </w:pPr>
      <w:r>
        <w:rPr>
          <w:bCs/>
          <w:b/>
        </w:rPr>
        <w:t xml:space="preserve">Strategic Insight:</w:t>
      </w:r>
      <w:r>
        <w:t xml:space="preserve"> </w:t>
      </w:r>
      <w:r>
        <w:t xml:space="preserve">5/5</w:t>
      </w:r>
    </w:p>
    <w:p>
      <w:pPr>
        <w:pStyle w:val="BodyText"/>
      </w:pPr>
      <w:r>
        <w:rPr>
          <w:bCs/>
          <w:b/>
        </w:rPr>
        <w:t xml:space="preserve">Cultural Adaptability:</w:t>
      </w:r>
      <w:r>
        <w:t xml:space="preserve"> </w:t>
      </w:r>
      <w:r>
        <w:t xml:space="preserve">4.5/5</w:t>
      </w:r>
    </w:p>
    <w:p>
      <w:pPr>
        <w:pStyle w:val="BodyText"/>
      </w:pPr>
      <w:r>
        <w:rPr>
          <w:bCs/>
          <w:b/>
        </w:rPr>
        <w:t xml:space="preserve">Technical Delivery:</w:t>
      </w:r>
      <w:r>
        <w:t xml:space="preserve"> </w:t>
      </w:r>
      <w:r>
        <w:t xml:space="preserve">5/5</w:t>
      </w:r>
    </w:p>
    <w:p>
      <w:pPr>
        <w:pStyle w:val="BodyText"/>
      </w:pPr>
      <w:r>
        <w:rPr>
          <w:bCs/>
          <w:b/>
        </w:rPr>
        <w:t xml:space="preserve">Client Satisfaction:</w:t>
      </w:r>
      <w:r>
        <w:t xml:space="preserve"> </w:t>
      </w:r>
      <w:r>
        <w:t xml:space="preserve">4.8/5</w:t>
      </w:r>
    </w:p>
    <w:p>
      <w:pPr>
        <w:pStyle w:val="BodyText"/>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Business Consultant</w:t>
      </w:r>
      <w:r>
        <w:t xml:space="preserve"> </w:t>
      </w:r>
      <w:r>
        <w:t xml:space="preserve">is a high-performing professional who adds significant value to our clients in</w:t>
      </w:r>
      <w:r>
        <w:t xml:space="preserve"> </w:t>
      </w:r>
      <w:r>
        <w:rPr>
          <w:bCs/>
          <w:b/>
        </w:rPr>
        <w:t xml:space="preserve">Saudi Arabia</w:t>
      </w:r>
      <w:r>
        <w:t xml:space="preserve">. Their ability to combine global best practices with a deep understanding of the Riyadh market makes them an invaluable asset. The consultant is recommended for continued engagement on high-priority projects and is eligible for consideration for senior leadership roles within the Middle East practice.</w:t>
      </w:r>
    </w:p>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Partner</w:t>
      </w:r>
    </w:p>
    <w:p>
      <w:pPr>
        <w:pStyle w:val="BodyText"/>
      </w:pPr>
      <w:r>
        <w:rPr>
          <w:bCs/>
          <w:b/>
        </w:rPr>
        <w:t xml:space="preserve">Consultant Name:</w:t>
      </w:r>
      <w:r>
        <w:t xml:space="preserve"> </w:t>
      </w:r>
      <w:r>
        <w:t xml:space="preserve">[Name Redacted]</w:t>
      </w:r>
    </w:p>
    <w:p>
      <w:pPr>
        <w:pStyle w:val="BodyText"/>
      </w:pPr>
      <w:r>
        <w:rPr>
          <w:bCs/>
          <w:b/>
        </w:rPr>
        <w:t xml:space="preserve">Title:</w:t>
      </w:r>
      <w:r>
        <w:t xml:space="preserve"> </w:t>
      </w:r>
      <w:r>
        <w:t xml:space="preserve">Senior Business Consultant</w:t>
      </w:r>
    </w:p>
    <w:p>
      <w:pPr>
        <w:pStyle w:val="BodyText"/>
      </w:pPr>
      <w:r>
        <w:t xml:space="preserve">Confidential Document - For Internal Use Only. Prepared in accordance with corporate governance standards applicable in Riyadh, Saudi Arabia.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Riyadh, Saudi Arabia</dc:title>
  <dc:creator/>
  <dc:language>en</dc:language>
  <cp:keywords/>
  <dcterms:created xsi:type="dcterms:W3CDTF">2026-10-10T04:17:38Z</dcterms:created>
  <dcterms:modified xsi:type="dcterms:W3CDTF">2026-10-10T04:17:38Z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