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t xml:space="preserve">Subject Role:</w:t>
      </w:r>
      <w:r>
        <w:t xml:space="preserve"> </w:t>
      </w:r>
      <w:r>
        <w:t xml:space="preserve">Business Consultant</w:t>
      </w:r>
    </w:p>
    <w:p>
      <w:pPr>
        <w:pStyle w:val="BodyText"/>
      </w:pPr>
      <w:r>
        <w:t xml:space="preserve">Location:</w:t>
      </w:r>
      <w:r>
        <w:t xml:space="preserve"> </w:t>
      </w:r>
      <w:r>
        <w:t xml:space="preserve">Sudan Khartoum</w:t>
      </w:r>
    </w:p>
    <w:p>
      <w:pPr>
        <w:pStyle w:val="BodyText"/>
      </w:pPr>
      <w:r>
        <w:t xml:space="preserve">Report 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Reviewer ID:</w:t>
      </w:r>
      <w:r>
        <w:t xml:space="preserve"> </w:t>
      </w:r>
      <w:r>
        <w:t xml:space="preserve">PR-2023-KH-04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strategic impact, and operational effectiveness of the</w:t>
      </w:r>
      <w:r>
        <w:t xml:space="preserve"> </w:t>
      </w:r>
      <w:r>
        <w:rPr>
          <w:bCs/>
          <w:b/>
        </w:rPr>
        <w:t xml:space="preserve">Business Consultant</w:t>
      </w:r>
      <w:r>
        <w:t xml:space="preserve"> </w:t>
      </w:r>
      <w:r>
        <w:t xml:space="preserve">assigned to the regional office in</w:t>
      </w:r>
      <w:r>
        <w:t xml:space="preserve"> </w:t>
      </w:r>
      <w:r>
        <w:rPr>
          <w:bCs/>
          <w:b/>
        </w:rPr>
        <w:t xml:space="preserve">Sudan Khartoum</w:t>
      </w:r>
      <w:r>
        <w:t xml:space="preserve">. The review period covers the third quarter of 2023, a timeframe characterized by significant economic volatility and infrastructural challenges within the region. The primary objective of this assessment is to determine the consultant's ability to navigate the unique socio-economic landscape of Khartoum while delivering actionable business intelligence and sustainable growth strategies to our client portfolio.</w:t>
      </w:r>
    </w:p>
    <w:p>
      <w:pPr>
        <w:pStyle w:val="BodyText"/>
      </w:pPr>
      <w:r>
        <w:t xml:space="preserve">Overall, the</w:t>
      </w:r>
      <w:r>
        <w:t xml:space="preserve"> </w:t>
      </w:r>
      <w:r>
        <w:rPr>
          <w:bCs/>
          <w:b/>
        </w:rPr>
        <w:t xml:space="preserve">Business Consultant</w:t>
      </w:r>
      <w:r>
        <w:t xml:space="preserve"> </w:t>
      </w:r>
      <w:r>
        <w:t xml:space="preserve">has demonstrated a high level of resilience and adaptability. Despite the complex regulatory environment and logistical constraints inherent to operating in</w:t>
      </w:r>
      <w:r>
        <w:t xml:space="preserve"> </w:t>
      </w:r>
      <w:r>
        <w:rPr>
          <w:bCs/>
          <w:b/>
        </w:rPr>
        <w:t xml:space="preserve">Sudan Khartoum</w:t>
      </w:r>
      <w:r>
        <w:t xml:space="preserve">, the consultant has successfully maintained client engagement and delivered critical market analysis reports. This report details specific competencies, areas of excellence, and recommended improvements to further enhance the consultant's efficacy in this specific geographic market.</w:t>
      </w:r>
    </w:p>
    <w:bookmarkEnd w:id="21"/>
    <w:bookmarkStart w:id="22" w:name="X1ff082620777db6dab6419f3e0964e824c5e2a9"/>
    <w:p>
      <w:pPr>
        <w:pStyle w:val="Heading2"/>
      </w:pPr>
      <w:r>
        <w:t xml:space="preserve">2. Contextual Analysis: Operating in Sudan Khartoum</w:t>
      </w:r>
    </w:p>
    <w:p>
      <w:pPr>
        <w:pStyle w:val="FirstParagraph"/>
      </w:pPr>
      <w:r>
        <w:t xml:space="preserve">To accurately assess the performance of a</w:t>
      </w:r>
      <w:r>
        <w:t xml:space="preserve"> </w:t>
      </w:r>
      <w:r>
        <w:rPr>
          <w:bCs/>
          <w:b/>
        </w:rPr>
        <w:t xml:space="preserve">Business Consultant</w:t>
      </w:r>
      <w:r>
        <w:t xml:space="preserve"> </w:t>
      </w:r>
      <w:r>
        <w:t xml:space="preserve">in this region, one must consider the distinct challenges of</w:t>
      </w:r>
      <w:r>
        <w:t xml:space="preserve"> </w:t>
      </w:r>
      <w:r>
        <w:rPr>
          <w:bCs/>
          <w:b/>
        </w:rPr>
        <w:t xml:space="preserve">Sudan Khartoum</w:t>
      </w:r>
      <w:r>
        <w:t xml:space="preserve">. The market is defined by fluctuating currency exchange rates, intermittent power supply, and a rapidly evolving political climate. A standard consulting framework often fails here; success requires a hybrid approach combining rigorous financial modeling with deep cultural intelligence and crisis management skills.</w:t>
      </w:r>
    </w:p>
    <w:p>
      <w:pPr>
        <w:pStyle w:val="BodyText"/>
      </w:pPr>
      <w:r>
        <w:t xml:space="preserve">The consultant under review was tasked with assisting local enterprises in optimizing supply chains and securing foreign investment partnerships. The</w:t>
      </w:r>
      <w:r>
        <w:t xml:space="preserve"> </w:t>
      </w:r>
      <w:r>
        <w:rPr>
          <w:bCs/>
          <w:b/>
        </w:rPr>
        <w:t xml:space="preserve">Peer Review Report</w:t>
      </w:r>
      <w:r>
        <w:t xml:space="preserve"> </w:t>
      </w:r>
      <w:r>
        <w:t xml:space="preserve">highlights how the consultant adapted global best practices to fit the local reality of Khartoum, ensuring that recommendations were not only theoretically sound but practically executable within the current infrastructure limitations.</w:t>
      </w:r>
    </w:p>
    <w:bookmarkEnd w:id="22"/>
    <w:bookmarkStart w:id="23" w:name="performance-evaluation-criteria"/>
    <w:p>
      <w:pPr>
        <w:pStyle w:val="Heading2"/>
      </w:pPr>
      <w:r>
        <w:t xml:space="preserve">3. Performance Evaluation Criteria</w:t>
      </w:r>
    </w:p>
    <w:p>
      <w:pPr>
        <w:pStyle w:val="FirstParagraph"/>
      </w:pPr>
      <w:r>
        <w:t xml:space="preserve">Local Market Knowledge &amp; Cultural Intelligence</w:t>
      </w:r>
      <w:r>
        <w:t xml:space="preserve"> </w:t>
      </w:r>
      <w:r>
        <w:t xml:space="preserve">4.8 / 5.0</w:t>
      </w:r>
    </w:p>
    <w:p>
      <w:pPr>
        <w:pStyle w:val="BodyText"/>
      </w:pPr>
      <w:r>
        <w:t xml:space="preserve">Strategic Problem Solving in Crisis Environments</w:t>
      </w:r>
      <w:r>
        <w:t xml:space="preserve"> </w:t>
      </w:r>
      <w:r>
        <w:t xml:space="preserve">4.5 / 5.0</w:t>
      </w:r>
    </w:p>
    <w:p>
      <w:pPr>
        <w:pStyle w:val="BodyText"/>
      </w:pPr>
      <w:r>
        <w:t xml:space="preserve">Client Relationship Management</w:t>
      </w:r>
      <w:r>
        <w:t xml:space="preserve"> </w:t>
      </w:r>
      <w:r>
        <w:t xml:space="preserve">4.7 / 5.0</w:t>
      </w:r>
    </w:p>
    <w:p>
      <w:pPr>
        <w:pStyle w:val="BodyText"/>
      </w:pPr>
      <w:r>
        <w:t xml:space="preserve">Technical Financial Analysis</w:t>
      </w:r>
      <w:r>
        <w:t xml:space="preserve"> </w:t>
      </w:r>
      <w:r>
        <w:t xml:space="preserve">4.2 / 5.0</w:t>
      </w:r>
    </w:p>
    <w:p>
      <w:pPr>
        <w:pStyle w:val="BodyText"/>
      </w:pPr>
      <w:r>
        <w:t xml:space="preserve">Communication &amp; Reporting</w:t>
      </w:r>
      <w:r>
        <w:t xml:space="preserve"> </w:t>
      </w:r>
      <w:r>
        <w:t xml:space="preserve">4.6 / 5.0</w:t>
      </w:r>
    </w:p>
    <w:bookmarkEnd w:id="23"/>
    <w:bookmarkStart w:id="27" w:name="detailed-assessment"/>
    <w:p>
      <w:pPr>
        <w:pStyle w:val="Heading2"/>
      </w:pPr>
      <w:r>
        <w:t xml:space="preserve">4. Detailed Assessment</w:t>
      </w:r>
    </w:p>
    <w:bookmarkStart w:id="24" w:name="adaptability-and-crisis-management"/>
    <w:p>
      <w:pPr>
        <w:pStyle w:val="Heading3"/>
      </w:pPr>
      <w:r>
        <w:t xml:space="preserve">4.1 Adaptability and Crisis Management</w:t>
      </w:r>
    </w:p>
    <w:p>
      <w:pPr>
        <w:pStyle w:val="FirstParagraph"/>
      </w:pPr>
      <w:r>
        <w:t xml:space="preserve">One of the most critical aspects of this</w:t>
      </w:r>
      <w:r>
        <w:t xml:space="preserve"> </w:t>
      </w:r>
      <w:r>
        <w:rPr>
          <w:bCs/>
          <w:b/>
        </w:rPr>
        <w:t xml:space="preserve">Peer Review Report</w:t>
      </w:r>
      <w:r>
        <w:t xml:space="preserve"> </w:t>
      </w:r>
      <w:r>
        <w:t xml:space="preserve">is the evaluation of the</w:t>
      </w:r>
      <w:r>
        <w:t xml:space="preserve"> </w:t>
      </w:r>
      <w:r>
        <w:rPr>
          <w:bCs/>
          <w:b/>
        </w:rPr>
        <w:t xml:space="preserve">Business Consultant</w:t>
      </w:r>
      <w:r>
        <w:t xml:space="preserve">'s ability to function under pressure. In</w:t>
      </w:r>
      <w:r>
        <w:t xml:space="preserve"> </w:t>
      </w:r>
      <w:r>
        <w:rPr>
          <w:bCs/>
          <w:b/>
        </w:rPr>
        <w:t xml:space="preserve">Sudan Khartoum</w:t>
      </w:r>
      <w:r>
        <w:t xml:space="preserve">, business continuity plans are often tested daily. The consultant demonstrated exceptional foresight by developing contingency strategies for clients facing supply chain disruptions due to border closures. By leveraging local networks and alternative logistics providers within the Khartoum industrial zone, the consultant ensured that key clients maintained 85% of their operational capacity during peak instability. This level of proactive problem-solving is rare and highly valued.</w:t>
      </w:r>
    </w:p>
    <w:bookmarkEnd w:id="24"/>
    <w:bookmarkStart w:id="25" w:name="X59559c407d56712b95db98d854b6ffdd02dc999"/>
    <w:p>
      <w:pPr>
        <w:pStyle w:val="Heading3"/>
      </w:pPr>
      <w:r>
        <w:t xml:space="preserve">4.2 Cultural Intelligence and Stakeholder Engagement</w:t>
      </w:r>
    </w:p>
    <w:p>
      <w:pPr>
        <w:pStyle w:val="FirstParagraph"/>
      </w:pPr>
      <w:r>
        <w:t xml:space="preserve">Success in</w:t>
      </w:r>
      <w:r>
        <w:t xml:space="preserve"> </w:t>
      </w:r>
      <w:r>
        <w:rPr>
          <w:bCs/>
          <w:b/>
        </w:rPr>
        <w:t xml:space="preserve">Sudan Khartoum</w:t>
      </w:r>
      <w:r>
        <w:t xml:space="preserve"> </w:t>
      </w:r>
      <w:r>
        <w:t xml:space="preserve">is heavily dependent on trust and personal relationships. The</w:t>
      </w:r>
      <w:r>
        <w:t xml:space="preserve"> </w:t>
      </w:r>
      <w:r>
        <w:rPr>
          <w:bCs/>
          <w:b/>
        </w:rPr>
        <w:t xml:space="preserve">Business Consultant</w:t>
      </w:r>
      <w:r>
        <w:t xml:space="preserve"> </w:t>
      </w:r>
      <w:r>
        <w:t xml:space="preserve">has shown a profound respect for local business etiquette and hierarchical structures. The review notes that the consultant effectively navigated negotiations with government officials and local business leaders, ensuring that all proposals aligned with cultural expectations. This cultural fluency has been instrumental in securing buy-in for difficult restructuring plans that might otherwise have been rejected by local stakeholders.</w:t>
      </w:r>
    </w:p>
    <w:bookmarkEnd w:id="25"/>
    <w:bookmarkStart w:id="26" w:name="strategic-financial-advisory"/>
    <w:p>
      <w:pPr>
        <w:pStyle w:val="Heading3"/>
      </w:pPr>
      <w:r>
        <w:t xml:space="preserve">4.3 Strategic Financial Advisory</w:t>
      </w:r>
    </w:p>
    <w:p>
      <w:pPr>
        <w:pStyle w:val="FirstParagraph"/>
      </w:pPr>
      <w:r>
        <w:t xml:space="preserve">From a technical standpoint, the</w:t>
      </w:r>
      <w:r>
        <w:t xml:space="preserve"> </w:t>
      </w:r>
      <w:r>
        <w:rPr>
          <w:bCs/>
          <w:b/>
        </w:rPr>
        <w:t xml:space="preserve">Business Consultant</w:t>
      </w:r>
      <w:r>
        <w:t xml:space="preserve"> </w:t>
      </w:r>
      <w:r>
        <w:t xml:space="preserve">provided robust financial modeling that accounted for hyperinflation risks specific to the Sudanese economy. The consultant advised clients on hedging strategies and diversified revenue streams to mitigate currency devaluation. However, this</w:t>
      </w:r>
      <w:r>
        <w:t xml:space="preserve"> </w:t>
      </w:r>
      <w:r>
        <w:rPr>
          <w:bCs/>
          <w:b/>
        </w:rPr>
        <w:t xml:space="preserve">Peer Review Report</w:t>
      </w:r>
      <w:r>
        <w:t xml:space="preserve"> </w:t>
      </w:r>
      <w:r>
        <w:t xml:space="preserve">suggests that while the financial models are accurate, the presentation of complex data to non-technical local partners could be simplified further to ensure broader understanding and implementation.</w:t>
      </w:r>
    </w:p>
    <w:bookmarkEnd w:id="26"/>
    <w:bookmarkEnd w:id="27"/>
    <w:bookmarkStart w:id="28" w:name="areas-for-improvement"/>
    <w:p>
      <w:pPr>
        <w:pStyle w:val="Heading2"/>
      </w:pPr>
      <w:r>
        <w:t xml:space="preserve">5. Areas for Improvement</w:t>
      </w:r>
    </w:p>
    <w:p>
      <w:pPr>
        <w:pStyle w:val="FirstParagraph"/>
      </w:pPr>
      <w:r>
        <w:t xml:space="preserve">While the performance of the</w:t>
      </w:r>
      <w:r>
        <w:t xml:space="preserve"> </w:t>
      </w:r>
      <w:r>
        <w:rPr>
          <w:bCs/>
          <w:b/>
        </w:rPr>
        <w:t xml:space="preserve">Business Consultant</w:t>
      </w:r>
      <w:r>
        <w:t xml:space="preserve"> </w:t>
      </w:r>
      <w:r>
        <w:t xml:space="preserve">in</w:t>
      </w:r>
      <w:r>
        <w:t xml:space="preserve"> </w:t>
      </w:r>
      <w:r>
        <w:rPr>
          <w:bCs/>
          <w:b/>
        </w:rPr>
        <w:t xml:space="preserve">Sudan Khartoum</w:t>
      </w:r>
      <w:r>
        <w:t xml:space="preserve"> </w:t>
      </w:r>
      <w:r>
        <w:t xml:space="preserve">is commendable, this</w:t>
      </w:r>
      <w:r>
        <w:t xml:space="preserve"> </w:t>
      </w:r>
      <w:r>
        <w:rPr>
          <w:bCs/>
          <w:b/>
        </w:rPr>
        <w:t xml:space="preserve">Peer Review Report</w:t>
      </w:r>
      <w:r>
        <w:t xml:space="preserve"> </w:t>
      </w:r>
      <w:r>
        <w:t xml:space="preserve">identifies specific areas for professional development:</w:t>
      </w:r>
    </w:p>
    <w:p>
      <w:pPr>
        <w:numPr>
          <w:ilvl w:val="0"/>
          <w:numId w:val="1001"/>
        </w:numPr>
        <w:pStyle w:val="Compact"/>
      </w:pPr>
      <w:r>
        <w:rPr>
          <w:bCs/>
          <w:b/>
        </w:rPr>
        <w:t xml:space="preserve">Digital Transformation Advocacy:</w:t>
      </w:r>
      <w:r>
        <w:t xml:space="preserve"> </w:t>
      </w:r>
      <w:r>
        <w:t xml:space="preserve">The consultant should place greater emphasis on introducing low-bandwidth digital tools to clients in Khartoum to improve operational efficiency despite internet connectivity issues.</w:t>
      </w:r>
    </w:p>
    <w:p>
      <w:pPr>
        <w:numPr>
          <w:ilvl w:val="0"/>
          <w:numId w:val="1001"/>
        </w:numPr>
        <w:pStyle w:val="Compact"/>
      </w:pPr>
      <w:r>
        <w:rPr>
          <w:bCs/>
          <w:b/>
        </w:rPr>
        <w:t xml:space="preserve">Regulatory Compliance Updates:</w:t>
      </w:r>
      <w:r>
        <w:t xml:space="preserve"> </w:t>
      </w:r>
      <w:r>
        <w:t xml:space="preserve">Given the fluid nature of Sudanese trade laws, the consultant must establish a more rigorous weekly review process for regulatory changes to ensure clients remain fully compliant.</w:t>
      </w:r>
    </w:p>
    <w:p>
      <w:pPr>
        <w:numPr>
          <w:ilvl w:val="0"/>
          <w:numId w:val="1001"/>
        </w:numPr>
        <w:pStyle w:val="Compact"/>
      </w:pPr>
      <w:r>
        <w:rPr>
          <w:bCs/>
          <w:b/>
        </w:rPr>
        <w:t xml:space="preserve">Knowledge Transfer:</w:t>
      </w:r>
      <w:r>
        <w:t xml:space="preserve"> </w:t>
      </w:r>
      <w:r>
        <w:t xml:space="preserve">There is a need to document local strategies more thoroughly so that the institutional knowledge gained in</w:t>
      </w:r>
      <w:r>
        <w:t xml:space="preserve"> </w:t>
      </w:r>
      <w:r>
        <w:rPr>
          <w:bCs/>
          <w:b/>
        </w:rPr>
        <w:t xml:space="preserve">Sudan Khartoum</w:t>
      </w:r>
      <w:r>
        <w:t xml:space="preserve"> </w:t>
      </w:r>
      <w:r>
        <w:t xml:space="preserve">can be shared with the wider regional team.</w:t>
      </w:r>
    </w:p>
    <w:bookmarkEnd w:id="28"/>
    <w:bookmarkStart w:id="29"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Business Consultant</w:t>
      </w:r>
      <w:r>
        <w:t xml:space="preserve"> </w:t>
      </w:r>
      <w:r>
        <w:t xml:space="preserve">is performing at a senior level within the challenging context of</w:t>
      </w:r>
      <w:r>
        <w:t xml:space="preserve"> </w:t>
      </w:r>
      <w:r>
        <w:rPr>
          <w:bCs/>
          <w:b/>
        </w:rPr>
        <w:t xml:space="preserve">Sudan Khartoum</w:t>
      </w:r>
      <w:r>
        <w:t xml:space="preserve">. The consultant has not only met the core deliverables but has also acted as a stabilizing force for clients navigating economic uncertainty. The combination of technical expertise and deep local empathy makes this consultant an invaluable asset to the firm's operations in the region.</w:t>
      </w:r>
    </w:p>
    <w:p>
      <w:pPr>
        <w:pStyle w:val="BodyText"/>
      </w:pPr>
      <w:r>
        <w:t xml:space="preserve">It is recommended that the consultant be granted extended autonomy in developing regional partnerships and be provided with additional resources to support digital infrastructure projects for clients. Continued support from headquarters is essential to maintain this high standard of performance in such a dynamic environment.</w:t>
      </w:r>
    </w:p>
    <w:bookmarkEnd w:id="29"/>
    <w:p>
      <w:pPr>
        <w:pStyle w:val="BodyText"/>
      </w:pPr>
      <w:r>
        <w:rPr>
          <w:bCs/>
          <w:b/>
        </w:rPr>
        <w:t xml:space="preserve">Reviewer Signature</w:t>
      </w:r>
      <w:r>
        <w:br/>
      </w:r>
      <w:r>
        <w:t xml:space="preserve">Senior Partner, Regional Operations</w:t>
      </w:r>
    </w:p>
    <w:p>
      <w:pPr>
        <w:pStyle w:val="BodyText"/>
      </w:pPr>
      <w:r>
        <w:rPr>
          <w:bCs/>
          <w:b/>
        </w:rPr>
        <w:t xml:space="preserve">Consultant Acknowledgement</w:t>
      </w:r>
      <w:r>
        <w:br/>
      </w:r>
      <w:r>
        <w:t xml:space="preserve">Business Consultant, Sudan Khartoum</w:t>
      </w:r>
    </w:p>
    <w:p>
      <w:pPr>
        <w:pStyle w:val="BodyText"/>
      </w:pPr>
      <w:r>
        <w:t xml:space="preserve">Confidential Document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Sudan Khartoum</dc:title>
  <dc:creator/>
  <dc:language>en</dc:language>
  <cp:keywords/>
  <dcterms:created xsi:type="dcterms:W3CDTF">2026-10-10T04:35:42Z</dcterms:created>
  <dcterms:modified xsi:type="dcterms:W3CDTF">2026-10-10T04:35:42Z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