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Business</w:t>
      </w:r>
      <w:r>
        <w:t xml:space="preserve"> </w:t>
      </w:r>
      <w:r>
        <w:t xml:space="preserve">Consultant</w:t>
      </w:r>
      <w:r>
        <w:t xml:space="preserve"> </w:t>
      </w:r>
      <w:r>
        <w:t xml:space="preserve">-</w:t>
      </w:r>
      <w:r>
        <w:t xml:space="preserve"> </w:t>
      </w:r>
      <w:r>
        <w:t xml:space="preserve">Ankara,</w:t>
      </w:r>
      <w:r>
        <w:t xml:space="preserve"> </w:t>
      </w:r>
      <w:r>
        <w:t xml:space="preserve">Turkey</w:t>
      </w:r>
    </w:p>
    <w:bookmarkStart w:id="20" w:name="peer-review-report"/>
    <w:p>
      <w:pPr>
        <w:pStyle w:val="Heading1"/>
      </w:pPr>
      <w:r>
        <w:t xml:space="preserve">Peer Review Report</w:t>
      </w:r>
    </w:p>
    <w:p>
      <w:pPr>
        <w:pStyle w:val="FirstParagraph"/>
      </w:pPr>
      <w:r>
        <w:t xml:space="preserve">Professional Assessment of Business Consultant Performance</w:t>
      </w:r>
    </w:p>
    <w:p>
      <w:pPr>
        <w:pStyle w:val="BodyText"/>
      </w:pPr>
      <w:r>
        <w:t xml:space="preserve">Report ID:</w:t>
      </w:r>
      <w:r>
        <w:t xml:space="preserve"> </w:t>
      </w:r>
      <w:r>
        <w:t xml:space="preserve">TR-ANK-2023-BC-089</w:t>
      </w:r>
    </w:p>
    <w:p>
      <w:pPr>
        <w:pStyle w:val="BodyText"/>
      </w:pPr>
      <w:r>
        <w:t xml:space="preserve">Date:</w:t>
      </w:r>
      <w:r>
        <w:t xml:space="preserve"> </w:t>
      </w:r>
      <w:r>
        <w:t xml:space="preserve">October 24, 2023</w:t>
      </w:r>
    </w:p>
    <w:p>
      <w:pPr>
        <w:pStyle w:val="BodyText"/>
      </w:pPr>
      <w:r>
        <w:t xml:space="preserve">Location:</w:t>
      </w:r>
      <w:r>
        <w:t xml:space="preserve"> </w:t>
      </w:r>
      <w:r>
        <w:t xml:space="preserve">Turkey Ankara</w:t>
      </w:r>
    </w:p>
    <w:p>
      <w:pPr>
        <w:pStyle w:val="BodyText"/>
      </w:pPr>
      <w:r>
        <w:t xml:space="preserve">Confidentiality:</w:t>
      </w:r>
      <w:r>
        <w:t xml:space="preserve"> </w:t>
      </w:r>
      <w:r>
        <w:t xml:space="preserve">Internal Use Only</w:t>
      </w:r>
    </w:p>
    <w:bookmarkEnd w:id="20"/>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has been prepared to evaluate the professional competency, strategic acumen, and operational effectiveness of the designated</w:t>
      </w:r>
      <w:r>
        <w:t xml:space="preserve"> </w:t>
      </w:r>
      <w:r>
        <w:rPr>
          <w:bCs/>
          <w:b/>
        </w:rPr>
        <w:t xml:space="preserve">Business Consultant</w:t>
      </w:r>
      <w:r>
        <w:t xml:space="preserve"> </w:t>
      </w:r>
      <w:r>
        <w:t xml:space="preserve">operating within the dynamic economic landscape of</w:t>
      </w:r>
      <w:r>
        <w:t xml:space="preserve"> </w:t>
      </w:r>
      <w:r>
        <w:rPr>
          <w:bCs/>
          <w:b/>
        </w:rPr>
        <w:t xml:space="preserve">Turkey Ankara</w:t>
      </w:r>
      <w:r>
        <w:t xml:space="preserve">. As the capital city of Turkey, Ankara presents a unique market environment characterized by a blend of government-centric opportunities, a growing startup ecosystem, and complex regulatory frameworks. This review assesses how effectively the consultant navigates these specific local conditions while delivering value to clients.</w:t>
      </w:r>
    </w:p>
    <w:p>
      <w:pPr>
        <w:pStyle w:val="BodyText"/>
      </w:pPr>
      <w:r>
        <w:t xml:space="preserve">The evaluation is based on a comprehensive analysis of project deliverables, stakeholder feedback, adherence to local business etiquette, and the strategic alignment of recommendations with the current Turkish market trends. The overall assessment indicates a high level of proficiency, with specific areas identified for further refinement to maximize impact in the Ankara region.</w:t>
      </w:r>
    </w:p>
    <w:bookmarkEnd w:id="21"/>
    <w:bookmarkStart w:id="22" w:name="consultant-profile-and-scope-of-review"/>
    <w:p>
      <w:pPr>
        <w:pStyle w:val="Heading2"/>
      </w:pPr>
      <w:r>
        <w:t xml:space="preserve">2. Consultant Profile and Scope of Review</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Attribute</w:t>
            </w:r>
          </w:p>
        </w:tc>
        <w:tc>
          <w:tcPr/>
          <w:p>
            <w:pPr>
              <w:pStyle w:val="Compact"/>
              <w:jc w:val="left"/>
            </w:pPr>
            <w:r>
              <w:t xml:space="preserve">Details</w:t>
            </w:r>
          </w:p>
        </w:tc>
      </w:tr>
      <w:tr>
        <w:tc>
          <w:tcPr/>
          <w:p>
            <w:pPr>
              <w:pStyle w:val="Compact"/>
              <w:jc w:val="left"/>
            </w:pPr>
            <w:r>
              <w:rPr>
                <w:bCs/>
                <w:b/>
              </w:rPr>
              <w:t xml:space="preserve">Role</w:t>
            </w:r>
          </w:p>
        </w:tc>
        <w:tc>
          <w:tcPr/>
          <w:p>
            <w:pPr>
              <w:pStyle w:val="Compact"/>
              <w:jc w:val="left"/>
            </w:pPr>
            <w:r>
              <w:t xml:space="preserve">Senior Business Consultant</w:t>
            </w:r>
          </w:p>
        </w:tc>
      </w:tr>
      <w:tr>
        <w:tc>
          <w:tcPr/>
          <w:p>
            <w:pPr>
              <w:pStyle w:val="Compact"/>
              <w:jc w:val="left"/>
            </w:pPr>
            <w:r>
              <w:rPr>
                <w:bCs/>
                <w:b/>
              </w:rPr>
              <w:t xml:space="preserve">Primary Region</w:t>
            </w:r>
          </w:p>
        </w:tc>
        <w:tc>
          <w:tcPr/>
          <w:p>
            <w:pPr>
              <w:pStyle w:val="Compact"/>
              <w:jc w:val="left"/>
            </w:pPr>
            <w:r>
              <w:t xml:space="preserve">Turkey Ankara (Çankaya, Yenimahalle districts)</w:t>
            </w:r>
          </w:p>
        </w:tc>
      </w:tr>
      <w:tr>
        <w:tc>
          <w:tcPr/>
          <w:p>
            <w:pPr>
              <w:pStyle w:val="Compact"/>
              <w:jc w:val="left"/>
            </w:pPr>
            <w:r>
              <w:rPr>
                <w:bCs/>
                <w:b/>
              </w:rPr>
              <w:t xml:space="preserve">Review Period</w:t>
            </w:r>
          </w:p>
        </w:tc>
        <w:tc>
          <w:tcPr/>
          <w:p>
            <w:pPr>
              <w:pStyle w:val="Compact"/>
              <w:jc w:val="left"/>
            </w:pPr>
            <w:r>
              <w:t xml:space="preserve">January 2023 – September 2023</w:t>
            </w:r>
          </w:p>
        </w:tc>
      </w:tr>
      <w:tr>
        <w:tc>
          <w:tcPr/>
          <w:p>
            <w:pPr>
              <w:pStyle w:val="Compact"/>
              <w:jc w:val="left"/>
            </w:pPr>
            <w:r>
              <w:rPr>
                <w:bCs/>
                <w:b/>
              </w:rPr>
              <w:t xml:space="preserve">Key Focus Areas</w:t>
            </w:r>
          </w:p>
        </w:tc>
        <w:tc>
          <w:tcPr/>
          <w:p>
            <w:pPr>
              <w:pStyle w:val="Compact"/>
              <w:jc w:val="left"/>
            </w:pPr>
            <w:r>
              <w:t xml:space="preserve">Market Entry Strategy, Regulatory Compliance, Stakeholder Management, Digital Transformation</w:t>
            </w:r>
          </w:p>
        </w:tc>
      </w:tr>
      <w:tr>
        <w:tc>
          <w:tcPr/>
          <w:p>
            <w:pPr>
              <w:pStyle w:val="Compact"/>
              <w:jc w:val="left"/>
            </w:pPr>
            <w:r>
              <w:rPr>
                <w:bCs/>
                <w:b/>
              </w:rPr>
              <w:t xml:space="preserve">Reviewers</w:t>
            </w:r>
          </w:p>
        </w:tc>
        <w:tc>
          <w:tcPr/>
          <w:p>
            <w:pPr>
              <w:pStyle w:val="Compact"/>
              <w:jc w:val="left"/>
            </w:pPr>
            <w:r>
              <w:t xml:space="preserve">Senior Partners, Regional Directors, Client Representatives</w:t>
            </w:r>
          </w:p>
        </w:tc>
      </w:tr>
    </w:tbl>
    <w:bookmarkEnd w:id="22"/>
    <w:bookmarkStart w:id="27" w:name="detailed-performance-assessment"/>
    <w:p>
      <w:pPr>
        <w:pStyle w:val="Heading2"/>
      </w:pPr>
      <w:r>
        <w:t xml:space="preserve">3. Detailed Performance Assessment</w:t>
      </w:r>
    </w:p>
    <w:bookmarkStart w:id="23" w:name="Xbc2a53531a514734c52f17f0ee366fc95595bbb"/>
    <w:p>
      <w:pPr>
        <w:pStyle w:val="Heading3"/>
      </w:pPr>
      <w:r>
        <w:t xml:space="preserve">3.1. Local Market Knowledge and Regulatory Navigation</w:t>
      </w:r>
    </w:p>
    <w:p>
      <w:pPr>
        <w:pStyle w:val="FirstParagraph"/>
      </w:pPr>
      <w:r>
        <w:t xml:space="preserve">A critical requirement for any</w:t>
      </w:r>
      <w:r>
        <w:t xml:space="preserve"> </w:t>
      </w:r>
      <w:r>
        <w:rPr>
          <w:bCs/>
          <w:b/>
        </w:rPr>
        <w:t xml:space="preserve">Business Consultant</w:t>
      </w:r>
      <w:r>
        <w:t xml:space="preserve"> </w:t>
      </w:r>
      <w:r>
        <w:t xml:space="preserve">in</w:t>
      </w:r>
      <w:r>
        <w:t xml:space="preserve"> </w:t>
      </w:r>
      <w:r>
        <w:rPr>
          <w:bCs/>
          <w:b/>
        </w:rPr>
        <w:t xml:space="preserve">Turkey Ankara</w:t>
      </w:r>
      <w:r>
        <w:t xml:space="preserve"> </w:t>
      </w:r>
      <w:r>
        <w:t xml:space="preserve">is the ability to navigate the intricate web of local regulations and bureaucratic processes. The consultant has demonstrated exceptional knowledge of Turkish commercial law, tax regulations, and labor codes. Specifically, their guidance on navigating the Ankara Chamber of Commerce and Industry (TOBB) requirements was instrumental in accelerating client onboarding processes.</w:t>
      </w:r>
    </w:p>
    <w:p>
      <w:pPr>
        <w:pStyle w:val="BodyText"/>
      </w:pPr>
      <w:r>
        <w:t xml:space="preserve">The consultant’s understanding of the political and economic climate in Ankara, including the implications of government policies on private sector growth, has been a significant asset. Their ability to interpret local regulations and translate them into actionable business strategies has minimized compliance risks for clients operating in this jurisdiction.</w:t>
      </w:r>
    </w:p>
    <w:bookmarkEnd w:id="23"/>
    <w:bookmarkStart w:id="24" w:name="strategic-advisory-and-problem-solving"/>
    <w:p>
      <w:pPr>
        <w:pStyle w:val="Heading3"/>
      </w:pPr>
      <w:r>
        <w:t xml:space="preserve">3.2. Strategic Advisory and Problem Solving</w:t>
      </w:r>
    </w:p>
    <w:p>
      <w:pPr>
        <w:pStyle w:val="FirstParagraph"/>
      </w:pPr>
      <w:r>
        <w:t xml:space="preserve">The consultant has consistently provided high-quality strategic advice tailored to the unique challenges faced by businesses in Ankara. Whether assisting international firms with market entry or helping local enterprises scale operations, the consultant’s recommendations have been data-driven and pragmatic. Their approach to problem-solving reflects a deep understanding of the competitive landscape in Turkey’s capital, including the rise of tech hubs and the importance of public-private partnerships.</w:t>
      </w:r>
    </w:p>
    <w:p>
      <w:pPr>
        <w:pStyle w:val="BodyText"/>
      </w:pPr>
      <w:r>
        <w:t xml:space="preserve">Notably, the consultant’s ability to identify opportunities within Ankara’s growing sectors—such as defense, aerospace, and information technology—has added significant value to client portfolios. Their strategic foresight has enabled clients to position themselves advantageously in a rapidly evolving market.</w:t>
      </w:r>
    </w:p>
    <w:bookmarkEnd w:id="24"/>
    <w:bookmarkStart w:id="25" w:name="X3ef0d3ea338e25b071587900295f37e2378f216"/>
    <w:p>
      <w:pPr>
        <w:pStyle w:val="Heading3"/>
      </w:pPr>
      <w:r>
        <w:t xml:space="preserve">3.3. Stakeholder Engagement and Cultural Competence</w:t>
      </w:r>
    </w:p>
    <w:p>
      <w:pPr>
        <w:pStyle w:val="FirstParagraph"/>
      </w:pPr>
      <w:r>
        <w:t xml:space="preserve">Effective stakeholder management is paramount in</w:t>
      </w:r>
      <w:r>
        <w:t xml:space="preserve"> </w:t>
      </w:r>
      <w:r>
        <w:rPr>
          <w:bCs/>
          <w:b/>
        </w:rPr>
        <w:t xml:space="preserve">Turkey Ankara</w:t>
      </w:r>
      <w:r>
        <w:t xml:space="preserve">, where business relationships are often built on trust and personal connections. The consultant has excelled in this area, demonstrating strong cultural competence and an ability to build rapport with diverse stakeholders, including government officials, corporate executives, and local community leaders.</w:t>
      </w:r>
    </w:p>
    <w:p>
      <w:pPr>
        <w:pStyle w:val="BodyText"/>
      </w:pPr>
      <w:r>
        <w:t xml:space="preserve">Their communication style is both professional and adaptable, ensuring that messages are conveyed clearly and respectfully across different cultural contexts. The consultant’s fluency in Turkish and English has further facilitated seamless interactions with both local and international clients, enhancing their effectiveness as a bridge between global business practices and local market realities.</w:t>
      </w:r>
    </w:p>
    <w:bookmarkEnd w:id="25"/>
    <w:bookmarkStart w:id="26" w:name="project-management-and-deliverables"/>
    <w:p>
      <w:pPr>
        <w:pStyle w:val="Heading3"/>
      </w:pPr>
      <w:r>
        <w:t xml:space="preserve">3.4. Project Management and Deliverables</w:t>
      </w:r>
    </w:p>
    <w:p>
      <w:pPr>
        <w:pStyle w:val="FirstParagraph"/>
      </w:pPr>
      <w:r>
        <w:t xml:space="preserve">The consultant has maintained a high standard of project management, ensuring that all deliverables are completed on time and within budget. Their ability to manage multiple projects simultaneously, while maintaining attention to detail, has been particularly impressive. The quality of reports, presentations, and strategic plans produced by the consultant has been consistently praised by clients and internal stakeholders alike.</w:t>
      </w:r>
    </w:p>
    <w:p>
      <w:pPr>
        <w:pStyle w:val="BodyText"/>
      </w:pPr>
      <w:r>
        <w:t xml:space="preserve">Furthermore, the consultant’s proactive approach to risk management has helped mitigate potential issues before they escalated, ensuring smooth project execution. Their use of modern project management tools and methodologies has also contributed to improved efficiency and transparency.</w:t>
      </w:r>
    </w:p>
    <w:bookmarkEnd w:id="26"/>
    <w:bookmarkEnd w:id="27"/>
    <w:bookmarkStart w:id="30" w:name="strengths-and-areas-for-improvement"/>
    <w:p>
      <w:pPr>
        <w:pStyle w:val="Heading2"/>
      </w:pPr>
      <w:r>
        <w:t xml:space="preserve">4. Strengths and Areas for Improvement</w:t>
      </w:r>
    </w:p>
    <w:bookmarkStart w:id="28" w:name="key-strengths"/>
    <w:p>
      <w:pPr>
        <w:pStyle w:val="Heading3"/>
      </w:pPr>
      <w:r>
        <w:t xml:space="preserve">4.1. Key Strengths</w:t>
      </w:r>
    </w:p>
    <w:p>
      <w:pPr>
        <w:numPr>
          <w:ilvl w:val="0"/>
          <w:numId w:val="1001"/>
        </w:numPr>
        <w:pStyle w:val="Compact"/>
      </w:pPr>
      <w:r>
        <w:rPr>
          <w:bCs/>
          <w:b/>
        </w:rPr>
        <w:t xml:space="preserve">Deep Local Expertise:</w:t>
      </w:r>
      <w:r>
        <w:t xml:space="preserve"> </w:t>
      </w:r>
      <w:r>
        <w:t xml:space="preserve">Exceptional understanding of the Ankara business environment and regulatory landscape.</w:t>
      </w:r>
    </w:p>
    <w:p>
      <w:pPr>
        <w:numPr>
          <w:ilvl w:val="0"/>
          <w:numId w:val="1001"/>
        </w:numPr>
        <w:pStyle w:val="Compact"/>
      </w:pPr>
      <w:r>
        <w:rPr>
          <w:bCs/>
          <w:b/>
        </w:rPr>
        <w:t xml:space="preserve">Strategic Insight:</w:t>
      </w:r>
      <w:r>
        <w:t xml:space="preserve"> </w:t>
      </w:r>
      <w:r>
        <w:t xml:space="preserve">Ability to provide forward-looking, actionable advice that aligns with market trends.</w:t>
      </w:r>
    </w:p>
    <w:p>
      <w:pPr>
        <w:numPr>
          <w:ilvl w:val="0"/>
          <w:numId w:val="1001"/>
        </w:numPr>
        <w:pStyle w:val="Compact"/>
      </w:pPr>
      <w:r>
        <w:rPr>
          <w:bCs/>
          <w:b/>
        </w:rPr>
        <w:t xml:space="preserve">Relationship Building:</w:t>
      </w:r>
      <w:r>
        <w:t xml:space="preserve"> </w:t>
      </w:r>
      <w:r>
        <w:t xml:space="preserve">Strong network and ability to foster trust with key stakeholders.</w:t>
      </w:r>
    </w:p>
    <w:p>
      <w:pPr>
        <w:numPr>
          <w:ilvl w:val="0"/>
          <w:numId w:val="1001"/>
        </w:numPr>
        <w:pStyle w:val="Compact"/>
      </w:pPr>
      <w:r>
        <w:rPr>
          <w:bCs/>
          <w:b/>
        </w:rPr>
        <w:t xml:space="preserve">Communication Skills:</w:t>
      </w:r>
      <w:r>
        <w:t xml:space="preserve"> </w:t>
      </w:r>
      <w:r>
        <w:t xml:space="preserve">Clear, concise, and culturally sensitive communication in both Turkish and English.</w:t>
      </w:r>
    </w:p>
    <w:p>
      <w:pPr>
        <w:numPr>
          <w:ilvl w:val="0"/>
          <w:numId w:val="1001"/>
        </w:numPr>
        <w:pStyle w:val="Compact"/>
      </w:pPr>
      <w:r>
        <w:rPr>
          <w:bCs/>
          <w:b/>
        </w:rPr>
        <w:t xml:space="preserve">Project Execution:</w:t>
      </w:r>
      <w:r>
        <w:t xml:space="preserve"> </w:t>
      </w:r>
      <w:r>
        <w:t xml:space="preserve">Consistent delivery of high-quality work on time and within scope.</w:t>
      </w:r>
    </w:p>
    <w:bookmarkEnd w:id="28"/>
    <w:bookmarkStart w:id="29" w:name="areas-for-improvement"/>
    <w:p>
      <w:pPr>
        <w:pStyle w:val="Heading3"/>
      </w:pPr>
      <w:r>
        <w:t xml:space="preserve">4.2. Areas for Improvement</w:t>
      </w:r>
    </w:p>
    <w:p>
      <w:pPr>
        <w:numPr>
          <w:ilvl w:val="0"/>
          <w:numId w:val="1002"/>
        </w:numPr>
        <w:pStyle w:val="Compact"/>
      </w:pPr>
      <w:r>
        <w:rPr>
          <w:bCs/>
          <w:b/>
        </w:rPr>
        <w:t xml:space="preserve">Digital Transformation Expertise:</w:t>
      </w:r>
      <w:r>
        <w:t xml:space="preserve"> </w:t>
      </w:r>
      <w:r>
        <w:t xml:space="preserve">While the consultant has a solid grasp of traditional business strategies, there is room to deepen their knowledge of emerging digital technologies and their application in the Turkish market.</w:t>
      </w:r>
    </w:p>
    <w:p>
      <w:pPr>
        <w:numPr>
          <w:ilvl w:val="0"/>
          <w:numId w:val="1002"/>
        </w:numPr>
        <w:pStyle w:val="Compact"/>
      </w:pPr>
      <w:r>
        <w:rPr>
          <w:bCs/>
          <w:b/>
        </w:rPr>
        <w:t xml:space="preserve">Scalability of Solutions:</w:t>
      </w:r>
      <w:r>
        <w:t xml:space="preserve"> </w:t>
      </w:r>
      <w:r>
        <w:t xml:space="preserve">Some recommendations are highly tailored to specific clients but could benefit from more scalable frameworks that can be applied across different industries.</w:t>
      </w:r>
    </w:p>
    <w:p>
      <w:pPr>
        <w:numPr>
          <w:ilvl w:val="0"/>
          <w:numId w:val="1002"/>
        </w:numPr>
        <w:pStyle w:val="Compact"/>
      </w:pPr>
      <w:r>
        <w:rPr>
          <w:bCs/>
          <w:b/>
        </w:rPr>
        <w:t xml:space="preserve">Proactive Innovation:</w:t>
      </w:r>
      <w:r>
        <w:t xml:space="preserve"> </w:t>
      </w:r>
      <w:r>
        <w:t xml:space="preserve">Encouraging the consultant to propose more innovative, out-of-the-box solutions that challenge conventional thinking in the Ankara market.</w:t>
      </w:r>
    </w:p>
    <w:bookmarkEnd w:id="29"/>
    <w:bookmarkEnd w:id="30"/>
    <w:bookmarkStart w:id="31" w:name="overall-rating"/>
    <w:p>
      <w:pPr>
        <w:pStyle w:val="Heading2"/>
      </w:pPr>
      <w:r>
        <w:t xml:space="preserve">5. Overall Rating</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Criteria</w:t>
            </w:r>
          </w:p>
        </w:tc>
        <w:tc>
          <w:tcPr/>
          <w:p>
            <w:pPr>
              <w:pStyle w:val="Compact"/>
              <w:jc w:val="left"/>
            </w:pPr>
            <w:r>
              <w:t xml:space="preserve">Rating (1-5)</w:t>
            </w:r>
          </w:p>
        </w:tc>
        <w:tc>
          <w:tcPr/>
          <w:p>
            <w:pPr>
              <w:pStyle w:val="Compact"/>
              <w:jc w:val="left"/>
            </w:pPr>
            <w:r>
              <w:t xml:space="preserve">Comments</w:t>
            </w:r>
          </w:p>
        </w:tc>
      </w:tr>
      <w:tr>
        <w:tc>
          <w:tcPr/>
          <w:p>
            <w:pPr>
              <w:pStyle w:val="Compact"/>
              <w:jc w:val="left"/>
            </w:pPr>
            <w:r>
              <w:t xml:space="preserve">Local Market Knowledge</w:t>
            </w:r>
          </w:p>
        </w:tc>
        <w:tc>
          <w:tcPr/>
          <w:p>
            <w:pPr>
              <w:pStyle w:val="Compact"/>
              <w:jc w:val="left"/>
            </w:pPr>
            <w:r>
              <w:t xml:space="preserve">5</w:t>
            </w:r>
          </w:p>
        </w:tc>
        <w:tc>
          <w:tcPr/>
          <w:p>
            <w:pPr>
              <w:pStyle w:val="Compact"/>
              <w:jc w:val="left"/>
            </w:pPr>
            <w:r>
              <w:t xml:space="preserve">Outstanding understanding of Ankara’s business environment.</w:t>
            </w:r>
          </w:p>
        </w:tc>
      </w:tr>
      <w:tr>
        <w:tc>
          <w:tcPr/>
          <w:p>
            <w:pPr>
              <w:pStyle w:val="Compact"/>
              <w:jc w:val="left"/>
            </w:pPr>
            <w:r>
              <w:t xml:space="preserve">Strategic Advisory</w:t>
            </w:r>
          </w:p>
        </w:tc>
        <w:tc>
          <w:tcPr/>
          <w:p>
            <w:pPr>
              <w:pStyle w:val="Compact"/>
              <w:jc w:val="left"/>
            </w:pPr>
            <w:r>
              <w:t xml:space="preserve">5</w:t>
            </w:r>
          </w:p>
        </w:tc>
        <w:tc>
          <w:tcPr/>
          <w:p>
            <w:pPr>
              <w:pStyle w:val="Compact"/>
              <w:jc w:val="left"/>
            </w:pPr>
            <w:r>
              <w:t xml:space="preserve">Highly effective in providing actionable, forward-looking advice.</w:t>
            </w:r>
          </w:p>
        </w:tc>
      </w:tr>
      <w:tr>
        <w:tc>
          <w:tcPr/>
          <w:p>
            <w:pPr>
              <w:pStyle w:val="Compact"/>
              <w:jc w:val="left"/>
            </w:pPr>
            <w:r>
              <w:t xml:space="preserve">Stakeholder Management</w:t>
            </w:r>
          </w:p>
        </w:tc>
        <w:tc>
          <w:tcPr/>
          <w:p>
            <w:pPr>
              <w:pStyle w:val="Compact"/>
              <w:jc w:val="left"/>
            </w:pPr>
            <w:r>
              <w:t xml:space="preserve">5</w:t>
            </w:r>
          </w:p>
        </w:tc>
        <w:tc>
          <w:tcPr/>
          <w:p>
            <w:pPr>
              <w:pStyle w:val="Compact"/>
              <w:jc w:val="left"/>
            </w:pPr>
            <w:r>
              <w:t xml:space="preserve">Excellent relationship-building and cultural competence.</w:t>
            </w:r>
          </w:p>
        </w:tc>
      </w:tr>
      <w:tr>
        <w:tc>
          <w:tcPr/>
          <w:p>
            <w:pPr>
              <w:pStyle w:val="Compact"/>
              <w:jc w:val="left"/>
            </w:pPr>
            <w:r>
              <w:t xml:space="preserve">Project Management</w:t>
            </w:r>
          </w:p>
        </w:tc>
        <w:tc>
          <w:tcPr/>
          <w:p>
            <w:pPr>
              <w:pStyle w:val="Compact"/>
              <w:jc w:val="left"/>
            </w:pPr>
            <w:r>
              <w:t xml:space="preserve">4</w:t>
            </w:r>
          </w:p>
        </w:tc>
        <w:tc>
          <w:tcPr/>
          <w:p>
            <w:pPr>
              <w:pStyle w:val="Compact"/>
              <w:jc w:val="left"/>
            </w:pPr>
            <w:r>
              <w:t xml:space="preserve">Consistent delivery with minor room for process optimization.</w:t>
            </w:r>
          </w:p>
        </w:tc>
      </w:tr>
      <w:tr>
        <w:tc>
          <w:tcPr/>
          <w:p>
            <w:pPr>
              <w:pStyle w:val="Compact"/>
              <w:jc w:val="left"/>
            </w:pPr>
            <w:r>
              <w:t xml:space="preserve">Innovation and Digital Acumen</w:t>
            </w:r>
          </w:p>
        </w:tc>
        <w:tc>
          <w:tcPr/>
          <w:p>
            <w:pPr>
              <w:pStyle w:val="Compact"/>
              <w:jc w:val="left"/>
            </w:pPr>
            <w:r>
              <w:t xml:space="preserve">3</w:t>
            </w:r>
          </w:p>
        </w:tc>
        <w:tc>
          <w:tcPr/>
          <w:p>
            <w:pPr>
              <w:pStyle w:val="Compact"/>
              <w:jc w:val="left"/>
            </w:pPr>
            <w:r>
              <w:t xml:space="preserve">Needs further development in digital transformation strategies.</w:t>
            </w:r>
          </w:p>
        </w:tc>
      </w:tr>
      <w:tr>
        <w:tc>
          <w:tcPr/>
          <w:p>
            <w:pPr>
              <w:pStyle w:val="Compact"/>
              <w:jc w:val="left"/>
            </w:pPr>
            <w:r>
              <w:rPr>
                <w:bCs/>
                <w:b/>
              </w:rPr>
              <w:t xml:space="preserve">Overall Score</w:t>
            </w:r>
          </w:p>
        </w:tc>
        <w:tc>
          <w:tcPr/>
          <w:p>
            <w:pPr>
              <w:pStyle w:val="Compact"/>
              <w:jc w:val="left"/>
            </w:pPr>
            <w:r>
              <w:rPr>
                <w:bCs/>
                <w:b/>
              </w:rPr>
              <w:t xml:space="preserve">4.4</w:t>
            </w:r>
          </w:p>
        </w:tc>
        <w:tc>
          <w:tcPr/>
          <w:p>
            <w:pPr>
              <w:pStyle w:val="Compact"/>
              <w:jc w:val="left"/>
            </w:pPr>
            <w:r>
              <w:rPr>
                <w:bCs/>
                <w:b/>
              </w:rPr>
              <w:t xml:space="preserve">Highly Recommended</w:t>
            </w:r>
          </w:p>
        </w:tc>
      </w:tr>
    </w:tbl>
    <w:bookmarkEnd w:id="31"/>
    <w:bookmarkStart w:id="32" w:name="recommendations"/>
    <w:p>
      <w:pPr>
        <w:pStyle w:val="Heading2"/>
      </w:pPr>
      <w:r>
        <w:t xml:space="preserve">6. Recommendations</w:t>
      </w:r>
    </w:p>
    <w:p>
      <w:pPr>
        <w:pStyle w:val="FirstParagraph"/>
      </w:pPr>
      <w:r>
        <w:t xml:space="preserve">Based on the findings of this</w:t>
      </w:r>
      <w:r>
        <w:t xml:space="preserve"> </w:t>
      </w:r>
      <w:r>
        <w:rPr>
          <w:bCs/>
          <w:b/>
        </w:rPr>
        <w:t xml:space="preserve">Peer Review Report</w:t>
      </w:r>
      <w:r>
        <w:t xml:space="preserve">, it is recommended that the</w:t>
      </w:r>
      <w:r>
        <w:t xml:space="preserve"> </w:t>
      </w:r>
      <w:r>
        <w:rPr>
          <w:bCs/>
          <w:b/>
        </w:rPr>
        <w:t xml:space="preserve">Business Consultant</w:t>
      </w:r>
      <w:r>
        <w:t xml:space="preserve"> </w:t>
      </w:r>
      <w:r>
        <w:t xml:space="preserve">continue to leverage their strong local expertise and strategic acumen to drive client success in</w:t>
      </w:r>
      <w:r>
        <w:t xml:space="preserve"> </w:t>
      </w:r>
      <w:r>
        <w:rPr>
          <w:bCs/>
          <w:b/>
        </w:rPr>
        <w:t xml:space="preserve">Turkey Ankara</w:t>
      </w:r>
      <w:r>
        <w:t xml:space="preserve">. To further enhance their effectiveness, the following actions are suggested:</w:t>
      </w:r>
    </w:p>
    <w:p>
      <w:pPr>
        <w:numPr>
          <w:ilvl w:val="0"/>
          <w:numId w:val="1003"/>
        </w:numPr>
        <w:pStyle w:val="Compact"/>
      </w:pPr>
      <w:r>
        <w:t xml:space="preserve">Undertake advanced training in digital transformation and emerging technologies to better serve clients in Ankara’s growing tech sector.</w:t>
      </w:r>
    </w:p>
    <w:p>
      <w:pPr>
        <w:numPr>
          <w:ilvl w:val="0"/>
          <w:numId w:val="1003"/>
        </w:numPr>
        <w:pStyle w:val="Compact"/>
      </w:pPr>
      <w:r>
        <w:t xml:space="preserve">Develop scalable consulting frameworks that can be applied across multiple industries and client types.</w:t>
      </w:r>
    </w:p>
    <w:p>
      <w:pPr>
        <w:numPr>
          <w:ilvl w:val="0"/>
          <w:numId w:val="1003"/>
        </w:numPr>
        <w:pStyle w:val="Compact"/>
      </w:pPr>
      <w:r>
        <w:t xml:space="preserve">Engage more actively in industry forums and networking events in Ankara to stay ahead of market trends and foster new business opportunities.</w:t>
      </w:r>
    </w:p>
    <w:p>
      <w:pPr>
        <w:numPr>
          <w:ilvl w:val="0"/>
          <w:numId w:val="1003"/>
        </w:numPr>
        <w:pStyle w:val="Compact"/>
      </w:pPr>
      <w:r>
        <w:t xml:space="preserve">Mentor junior consultants to share their local knowledge and best practices, thereby strengthening the overall team capability.</w:t>
      </w:r>
    </w:p>
    <w:bookmarkEnd w:id="32"/>
    <w:p>
      <w:pPr>
        <w:pStyle w:val="FirstParagraph"/>
      </w:pPr>
      <w:r>
        <w:rPr>
          <w:bCs/>
          <w:b/>
        </w:rPr>
        <w:t xml:space="preserve">Reviewed By:</w:t>
      </w:r>
    </w:p>
    <w:p>
      <w:pPr>
        <w:pStyle w:val="BodyText"/>
      </w:pPr>
      <w:r>
        <w:t xml:space="preserve">Senior Partner, Regional Advisory</w:t>
      </w:r>
    </w:p>
    <w:p>
      <w:pPr>
        <w:pStyle w:val="BodyText"/>
      </w:pPr>
      <w:r>
        <w:t xml:space="preserve">Signature: ______________________</w:t>
      </w:r>
    </w:p>
    <w:p>
      <w:pPr>
        <w:pStyle w:val="BodyText"/>
      </w:pPr>
      <w:r>
        <w:t xml:space="preserve">Date: ______________________</w:t>
      </w:r>
    </w:p>
    <w:p>
      <w:pPr>
        <w:pStyle w:val="BodyText"/>
      </w:pPr>
      <w:r>
        <w:rPr>
          <w:bCs/>
          <w:b/>
        </w:rPr>
        <w:t xml:space="preserve">Consultant Acknowledgment:</w:t>
      </w:r>
    </w:p>
    <w:p>
      <w:pPr>
        <w:pStyle w:val="BodyText"/>
      </w:pPr>
      <w:r>
        <w:t xml:space="preserve">Business Consultant</w:t>
      </w:r>
    </w:p>
    <w:p>
      <w:pPr>
        <w:pStyle w:val="BodyText"/>
      </w:pPr>
      <w:r>
        <w:t xml:space="preserve">Signature: ______________________</w:t>
      </w:r>
    </w:p>
    <w:p>
      <w:pPr>
        <w:pStyle w:val="BodyText"/>
      </w:pPr>
      <w:r>
        <w:t xml:space="preserve">Date: ______________________</w:t>
      </w:r>
    </w:p>
    <w:p>
      <w:pPr>
        <w:pStyle w:val="BodyText"/>
      </w:pPr>
      <w:r>
        <w:t xml:space="preserve">This</w:t>
      </w:r>
      <w:r>
        <w:t xml:space="preserve"> </w:t>
      </w:r>
      <w:r>
        <w:rPr>
          <w:bCs/>
          <w:b/>
        </w:rPr>
        <w:t xml:space="preserve">Peer Review Report</w:t>
      </w:r>
      <w:r>
        <w:t xml:space="preserve"> </w:t>
      </w:r>
      <w:r>
        <w:t xml:space="preserve">is confidential and intended solely for the use of the individuals and entities named herein. Unauthorized distribution is prohibited.</w:t>
      </w:r>
    </w:p>
    <w:p>
      <w:pPr>
        <w:pStyle w:val="BodyText"/>
      </w:pPr>
      <w:r>
        <w:t xml:space="preserve">© 2023 Professional Consulting Group – Turkey Ankara Office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Business Consultant - Ankara, Turkey</dc:title>
  <dc:creator/>
  <dc:language>en</dc:language>
  <cp:keywords/>
  <dcterms:created xsi:type="dcterms:W3CDTF">2026-10-10T02:03:38Z</dcterms:created>
  <dcterms:modified xsi:type="dcterms:W3CDTF">2026-10-10T02:03:38Z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