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Abu</w:t>
      </w:r>
      <w:r>
        <w:t xml:space="preserve"> </w:t>
      </w:r>
      <w:r>
        <w:t xml:space="preserve">Dhabi,</w:t>
      </w:r>
      <w:r>
        <w:t xml:space="preserve"> </w:t>
      </w:r>
      <w:r>
        <w:t xml:space="preserve">UAE</w:t>
      </w:r>
    </w:p>
    <w:bookmarkStart w:id="27" w:name="peer-review-report-business-consultant"/>
    <w:p>
      <w:pPr>
        <w:pStyle w:val="Heading1"/>
      </w:pPr>
      <w:r>
        <w:t xml:space="preserve">Peer Review Report: Business Consultant</w:t>
      </w:r>
    </w:p>
    <w:p>
      <w:pPr>
        <w:pStyle w:val="FirstParagraph"/>
      </w:pPr>
      <w:r>
        <w:t xml:space="preserve">Subject of Review</w:t>
      </w:r>
    </w:p>
    <w:p>
      <w:pPr>
        <w:pStyle w:val="BodyText"/>
      </w:pPr>
      <w:r>
        <w:t xml:space="preserve">Senior Business Consultant</w:t>
      </w:r>
    </w:p>
    <w:p>
      <w:pPr>
        <w:pStyle w:val="BodyText"/>
      </w:pPr>
      <w:r>
        <w:t xml:space="preserve">Review Period</w:t>
      </w:r>
    </w:p>
    <w:p>
      <w:pPr>
        <w:pStyle w:val="BodyText"/>
      </w:pPr>
      <w:r>
        <w:t xml:space="preserve">Q1 – Q4 2023</w:t>
      </w:r>
    </w:p>
    <w:p>
      <w:pPr>
        <w:pStyle w:val="BodyText"/>
      </w:pPr>
      <w:r>
        <w:t xml:space="preserve">Location</w:t>
      </w:r>
    </w:p>
    <w:p>
      <w:pPr>
        <w:pStyle w:val="BodyText"/>
      </w:pPr>
      <w:r>
        <w:t xml:space="preserve">Abu Dhabi, United Arab Emirates</w:t>
      </w:r>
    </w:p>
    <w:p>
      <w:pPr>
        <w:pStyle w:val="BodyText"/>
      </w:pPr>
      <w:r>
        <w:t xml:space="preserve">Date of Report</w:t>
      </w:r>
    </w:p>
    <w:p>
      <w:pPr>
        <w:pStyle w:val="BodyText"/>
      </w:pPr>
      <w:r>
        <w:t xml:space="preserve">October 24, 2023</w:t>
      </w:r>
    </w:p>
    <w:bookmarkStart w:id="20" w:name="executive-summary"/>
    <w:p>
      <w:pPr>
        <w:pStyle w:val="Heading2"/>
      </w:pPr>
      <w:r>
        <w:t xml:space="preserve">1. Executive Summary</w:t>
      </w:r>
    </w:p>
    <w:p>
      <w:pPr>
        <w:pStyle w:val="FirstParagraph"/>
      </w:pPr>
      <w:r>
        <w:t xml:space="preserve">This Peer Review Report evaluates the professional performance, strategic acumen, and operational effectiveness of the Business Consultant operating within the dynamic economic landscape of Abu Dhabi, United Arab Emirates. The review is conducted by a panel of senior industry peers to ensure alignment with international consulting standards and local regulatory frameworks. The consultant has demonstrated a robust understanding of the UAE’s Vision 2030 and Abu Dhabi Economic Vision 2030, successfully integrating these macro-economic goals into client deliverables.</w:t>
      </w:r>
    </w:p>
    <w:p>
      <w:pPr>
        <w:pStyle w:val="BodyText"/>
      </w:pPr>
      <w:r>
        <w:t xml:space="preserve">The assessment covers key performance indicators including stakeholder management, regulatory compliance, cultural intelligence, and project delivery. Overall, the consultant has exhibited a high level of competence, particularly in navigating the complexities of the Abu Dhabi market, though there are specific areas regarding digital transformation adoption that require further development.</w:t>
      </w:r>
    </w:p>
    <w:bookmarkEnd w:id="20"/>
    <w:bookmarkStart w:id="21" w:name="strategic-alignment-and-market-knowledge"/>
    <w:p>
      <w:pPr>
        <w:pStyle w:val="Heading2"/>
      </w:pPr>
      <w:r>
        <w:t xml:space="preserve">2. Strategic Alignment and Market Knowledge</w:t>
      </w:r>
    </w:p>
    <w:p>
      <w:pPr>
        <w:pStyle w:val="FirstParagraph"/>
      </w:pPr>
      <w:r>
        <w:t xml:space="preserve">A critical requirement for a Business Consultant in the United Arab Emirates is the ability to align client strategies with national directives. The subject has shown exceptional proficiency in interpreting government policies, such as the Abu Dhabi Digital Government strategy and the National AI Strategy.</w:t>
      </w:r>
    </w:p>
    <w:p>
      <w:pPr>
        <w:pStyle w:val="BodyText"/>
      </w:pPr>
      <w:r>
        <w:t xml:space="preserve">During the review period, the consultant successfully advised three major entities in the Abu Dhabi free zones on restructuring their operations to comply with new corporate tax regulations introduced by the Federal Tax Authority. This demonstrates not only technical financial knowledge but also a proactive approach to regulatory foresight, which is vital for maintaining business continuity in the UAE.</w:t>
      </w:r>
    </w:p>
    <w:bookmarkEnd w:id="21"/>
    <w:bookmarkStart w:id="22" w:name="X27ce2e7c71a7b40d984d4ab7cb17ee4e545c836"/>
    <w:p>
      <w:pPr>
        <w:pStyle w:val="Heading2"/>
      </w:pPr>
      <w:r>
        <w:t xml:space="preserve">3. Cultural Intelligence and Stakeholder Management</w:t>
      </w:r>
    </w:p>
    <w:p>
      <w:pPr>
        <w:pStyle w:val="FirstParagraph"/>
      </w:pPr>
      <w:r>
        <w:t xml:space="preserve">Operating in Abu Dhabi requires a nuanced understanding of Emirati business etiquette and the multicultural nature of the workforce. The Peer Review Panel commends the consultant for their high degree of cultural intelligence. The consultant effectively navigates hierarchical structures common in local government-related entities while maintaining open communication channels with diverse international stakeholders.</w:t>
      </w:r>
    </w:p>
    <w:p>
      <w:pPr>
        <w:pStyle w:val="BodyText"/>
      </w:pPr>
      <w:r>
        <w:t xml:space="preserve">Key strengths identified include:</w:t>
      </w:r>
    </w:p>
    <w:p>
      <w:pPr>
        <w:numPr>
          <w:ilvl w:val="0"/>
          <w:numId w:val="1001"/>
        </w:numPr>
        <w:pStyle w:val="Compact"/>
      </w:pPr>
      <w:r>
        <w:t xml:space="preserve">Respectful adherence to local customs and business protocols.</w:t>
      </w:r>
    </w:p>
    <w:p>
      <w:pPr>
        <w:numPr>
          <w:ilvl w:val="0"/>
          <w:numId w:val="1001"/>
        </w:numPr>
        <w:pStyle w:val="Compact"/>
      </w:pPr>
      <w:r>
        <w:t xml:space="preserve">Ability to build trust with senior leadership in both public and private sectors.</w:t>
      </w:r>
    </w:p>
    <w:p>
      <w:pPr>
        <w:numPr>
          <w:ilvl w:val="0"/>
          <w:numId w:val="1001"/>
        </w:numPr>
        <w:pStyle w:val="Compact"/>
      </w:pPr>
      <w:r>
        <w:t xml:space="preserve">Effective mediation of conflicts between local partners and international investors.</w:t>
      </w:r>
    </w:p>
    <w:bookmarkEnd w:id="22"/>
    <w:bookmarkStart w:id="23" w:name="Xc0652c90ed26c99fc2723190d2585b09fb3ec15"/>
    <w:p>
      <w:pPr>
        <w:pStyle w:val="Heading2"/>
      </w:pPr>
      <w:r>
        <w:t xml:space="preserve">4. Project Delivery and Operational Excellence</w:t>
      </w:r>
    </w:p>
    <w:p>
      <w:pPr>
        <w:pStyle w:val="FirstParagraph"/>
      </w:pPr>
      <w:r>
        <w:t xml:space="preserve">The consultant’s track record in project delivery within the Abu Dhabi region has been largely positive. The review highlights the successful completion of a market entry strategy for a European logistics firm, which resulted in a 15% increase in operational efficiency within the first six months.</w:t>
      </w:r>
    </w:p>
    <w:p>
      <w:pPr>
        <w:pStyle w:val="BodyText"/>
      </w:pPr>
      <w:r>
        <w:t xml:space="preserve">However, the panel noted occasional delays in the submission of final reports. While the quality of the analysis was rigorous, the turnaround time did not always meet the accelerated pace expected in the competitive Abu Dhabi market. Improving time management and resource allocation is recommended to enhance overall operational excellence.</w:t>
      </w:r>
    </w:p>
    <w:bookmarkEnd w:id="23"/>
    <w:bookmarkStart w:id="24" w:name="technical-competence-and-innovation"/>
    <w:p>
      <w:pPr>
        <w:pStyle w:val="Heading2"/>
      </w:pPr>
      <w:r>
        <w:t xml:space="preserve">5. Technical Competence and Innovation</w:t>
      </w:r>
    </w:p>
    <w:p>
      <w:pPr>
        <w:pStyle w:val="FirstParagraph"/>
      </w:pPr>
      <w:r>
        <w:t xml:space="preserve">The consultant possesses strong foundational skills in financial modeling, risk assessment, and organizational design. However, as the United Arab Emirates pushes towards a knowledge-based economy, there is an expectation for consultants to leverage advanced data analytics and AI tools.</w:t>
      </w:r>
    </w:p>
    <w:p>
      <w:pPr>
        <w:pStyle w:val="BodyText"/>
      </w:pPr>
      <w:r>
        <w:t xml:space="preserve">The review indicates that while the consultant is aware of these technologies, their practical application in client solutions remains limited. To remain competitive in Abu Dhabi’s evolving tech ecosystem, the consultant is advised to upskill in data-driven decision-making tools and integrate these into their consulting methodology.</w:t>
      </w:r>
    </w:p>
    <w:bookmarkEnd w:id="24"/>
    <w:bookmarkStart w:id="25" w:name="X2505c1a0023529382629b60d8e35fc2b9eaee81"/>
    <w:p>
      <w:pPr>
        <w:pStyle w:val="Heading2"/>
      </w:pPr>
      <w:r>
        <w:t xml:space="preserve">6. Recommendations for Professional Development</w:t>
      </w:r>
    </w:p>
    <w:p>
      <w:pPr>
        <w:pStyle w:val="FirstParagraph"/>
      </w:pPr>
      <w:r>
        <w:t xml:space="preserve">Based on the findings of this Peer Review Report, the following recommendations are made to support the consultant’s continued growth in the Abu Dhabi market:</w:t>
      </w:r>
    </w:p>
    <w:p>
      <w:pPr>
        <w:numPr>
          <w:ilvl w:val="0"/>
          <w:numId w:val="1002"/>
        </w:numPr>
        <w:pStyle w:val="Compact"/>
      </w:pPr>
      <w:r>
        <w:rPr>
          <w:bCs/>
          <w:b/>
        </w:rPr>
        <w:t xml:space="preserve">Enhance Digital Proficiency:</w:t>
      </w:r>
      <w:r>
        <w:t xml:space="preserve"> </w:t>
      </w:r>
      <w:r>
        <w:t xml:space="preserve">Undertake specialized training in business intelligence and AI applications relevant to the UAE market.</w:t>
      </w:r>
    </w:p>
    <w:p>
      <w:pPr>
        <w:numPr>
          <w:ilvl w:val="0"/>
          <w:numId w:val="1002"/>
        </w:numPr>
        <w:pStyle w:val="Compact"/>
      </w:pPr>
      <w:r>
        <w:rPr>
          <w:bCs/>
          <w:b/>
        </w:rPr>
        <w:t xml:space="preserve">Improve Turnaround Efficiency:</w:t>
      </w:r>
      <w:r>
        <w:t xml:space="preserve"> </w:t>
      </w:r>
      <w:r>
        <w:t xml:space="preserve">Implement stricter project management frameworks to ensure timely delivery of consulting artifacts.</w:t>
      </w:r>
    </w:p>
    <w:p>
      <w:pPr>
        <w:numPr>
          <w:ilvl w:val="0"/>
          <w:numId w:val="1002"/>
        </w:numPr>
        <w:pStyle w:val="Compact"/>
      </w:pPr>
      <w:r>
        <w:rPr>
          <w:bCs/>
          <w:b/>
        </w:rPr>
        <w:t xml:space="preserve">Deepen Sector Expertise:</w:t>
      </w:r>
      <w:r>
        <w:t xml:space="preserve"> </w:t>
      </w:r>
      <w:r>
        <w:t xml:space="preserve">Focus on emerging sectors in Abu Dhabi, such as renewable energy and fintech, to broaden the scope of advisory services.</w:t>
      </w:r>
    </w:p>
    <w:bookmarkEnd w:id="25"/>
    <w:bookmarkStart w:id="26" w:name="conclusion"/>
    <w:p>
      <w:pPr>
        <w:pStyle w:val="Heading2"/>
      </w:pPr>
      <w:r>
        <w:t xml:space="preserve">7. Conclusion</w:t>
      </w:r>
    </w:p>
    <w:p>
      <w:pPr>
        <w:pStyle w:val="FirstParagraph"/>
      </w:pPr>
      <w:r>
        <w:t xml:space="preserve">In conclusion, this Business Consultant has demonstrated a strong capability to deliver value to clients in Abu Dhabi, United Arab Emirates. Their understanding of the local regulatory environment and cultural nuances is a significant asset. By addressing the identified gaps in digital adoption and project timing, the consultant is well-positioned to become a leading advisor in the region. The Peer Review Panel rates the overall performance as "Proficient with High Potential."</w:t>
      </w:r>
    </w:p>
    <w:p>
      <w:pPr>
        <w:pStyle w:val="BodyText"/>
      </w:pPr>
      <w:r>
        <w:rPr>
          <w:bCs/>
          <w:b/>
        </w:rPr>
        <w:t xml:space="preserve">Lead Reviewer</w:t>
      </w:r>
      <w:r>
        <w:br/>
      </w:r>
      <w:r>
        <w:t xml:space="preserve">Senior Partner, Consulting Review Board</w:t>
      </w:r>
      <w:r>
        <w:br/>
      </w:r>
      <w:r>
        <w:t xml:space="preserve">Abu Dhabi, UAE</w:t>
      </w:r>
    </w:p>
    <w:p>
      <w:pPr>
        <w:pStyle w:val="BodyText"/>
      </w:pPr>
      <w:r>
        <w:rPr>
          <w:bCs/>
          <w:b/>
        </w:rPr>
        <w:t xml:space="preserve">Co-Reviewer</w:t>
      </w:r>
      <w:r>
        <w:br/>
      </w:r>
      <w:r>
        <w:t xml:space="preserve">Director of Operations</w:t>
      </w:r>
      <w:r>
        <w:br/>
      </w:r>
      <w:r>
        <w:t xml:space="preserve">Abu Dhabi, UAE</w:t>
      </w:r>
    </w:p>
    <w:p>
      <w:pPr>
        <w:pStyle w:val="BodyText"/>
      </w:pPr>
      <w:r>
        <w:t xml:space="preserve">Confidential Document – For Internal Use Only. This Peer Review Report is subject to the data protection laws of the United Arab Emirates.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Abu Dhabi, UAE</dc:title>
  <dc:creator/>
  <dc:language>en</dc:language>
  <cp:keywords/>
  <dcterms:created xsi:type="dcterms:W3CDTF">2026-10-10T05:52:36Z</dcterms:created>
  <dcterms:modified xsi:type="dcterms:W3CDTF">2026-10-10T05:52:36Z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