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Dubai,</w:t>
      </w:r>
      <w:r>
        <w:t xml:space="preserve"> </w:t>
      </w:r>
      <w:r>
        <w:t xml:space="preserve">UAE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Business Consultant</w:t>
      </w:r>
    </w:p>
    <w:p>
      <w:pPr>
        <w:pStyle w:val="BodyText"/>
      </w:pPr>
      <w:r>
        <w:rPr>
          <w:bCs/>
          <w:b/>
        </w:rPr>
        <w:t xml:space="preserve">Location:</w:t>
      </w:r>
      <w:r>
        <w:t xml:space="preserve"> </w:t>
      </w:r>
      <w:r>
        <w:t xml:space="preserve">United Arab Emirates, Dubai</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w:t>
      </w:r>
    </w:p>
    <w:bookmarkEnd w:id="20"/>
    <w:bookmarkStart w:id="21" w:name="executive-summary"/>
    <w:p>
      <w:pPr>
        <w:pStyle w:val="Heading2"/>
      </w:pPr>
      <w:r>
        <w:t xml:space="preserve">1. Executive Summary</w:t>
      </w:r>
    </w:p>
    <w:p>
      <w:pPr>
        <w:pStyle w:val="FirstParagraph"/>
      </w:pPr>
      <w:r>
        <w:t xml:space="preserve">This Peer Review Report has been prepared to assess the professional performance, strategic acumen, and operational effectiveness of the designated Business Consultant operating within the dynamic commercial landscape of Dubai, United Arab Emirates. The purpose of this review is to provide an objective analysis of the consultant's contributions to client success, adherence to local regulatory frameworks, and alignment with the broader economic goals of the emirate.</w:t>
      </w:r>
    </w:p>
    <w:p>
      <w:pPr>
        <w:pStyle w:val="BodyText"/>
      </w:pPr>
      <w:r>
        <w:t xml:space="preserve">Dubai continues to position itself as a global hub for trade, tourism, and innovation. Consequently, the role of a Business Consultant in this region requires a unique blend of international best practices and deep local market intelligence. This report evaluates how effectively the subject has navigated these complexities to deliver value to stakeholders.</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 relevant to the Business Consultant's role in Dubai:</w:t>
      </w:r>
    </w:p>
    <w:p>
      <w:pPr>
        <w:numPr>
          <w:ilvl w:val="0"/>
          <w:numId w:val="1001"/>
        </w:numPr>
        <w:pStyle w:val="Compact"/>
      </w:pPr>
      <w:r>
        <w:t xml:space="preserve">Strategic planning and market entry analysis.</w:t>
      </w:r>
    </w:p>
    <w:p>
      <w:pPr>
        <w:numPr>
          <w:ilvl w:val="0"/>
          <w:numId w:val="1001"/>
        </w:numPr>
        <w:pStyle w:val="Compact"/>
      </w:pPr>
      <w:r>
        <w:t xml:space="preserve">Regulatory compliance and government liaison (including DED and free zone authorities).</w:t>
      </w:r>
    </w:p>
    <w:p>
      <w:pPr>
        <w:numPr>
          <w:ilvl w:val="0"/>
          <w:numId w:val="1001"/>
        </w:numPr>
        <w:pStyle w:val="Compact"/>
      </w:pPr>
      <w:r>
        <w:t xml:space="preserve">Client relationship management and cultural intelligence.</w:t>
      </w:r>
    </w:p>
    <w:p>
      <w:pPr>
        <w:numPr>
          <w:ilvl w:val="0"/>
          <w:numId w:val="1001"/>
        </w:numPr>
        <w:pStyle w:val="Compact"/>
      </w:pPr>
      <w:r>
        <w:t xml:space="preserve">Financial modeling and operational efficiency improvements.</w:t>
      </w:r>
    </w:p>
    <w:p>
      <w:pPr>
        <w:numPr>
          <w:ilvl w:val="0"/>
          <w:numId w:val="1001"/>
        </w:numPr>
        <w:pStyle w:val="Compact"/>
      </w:pPr>
      <w:r>
        <w:t xml:space="preserve">Adherence to professional ethics and confidentiality standards.</w:t>
      </w:r>
    </w:p>
    <w:bookmarkEnd w:id="22"/>
    <w:bookmarkStart w:id="27" w:name="detailed-assessment"/>
    <w:p>
      <w:pPr>
        <w:pStyle w:val="Heading2"/>
      </w:pPr>
      <w:r>
        <w:t xml:space="preserve">3. Detailed Assessment</w:t>
      </w:r>
    </w:p>
    <w:bookmarkStart w:id="23" w:name="X3a382b5bc36814ebb1b436ba790c92da91b0629"/>
    <w:p>
      <w:pPr>
        <w:pStyle w:val="Heading3"/>
      </w:pPr>
      <w:r>
        <w:t xml:space="preserve">3.1 Strategic Market Insight and Adaptability</w:t>
      </w:r>
    </w:p>
    <w:p>
      <w:pPr>
        <w:pStyle w:val="FirstParagraph"/>
      </w:pPr>
      <w:r>
        <w:t xml:space="preserve">The Business Consultant has demonstrated a commendable understanding of the United Arab Emirates Dubai market dynamics. The consultant successfully leveraged insights regarding the "Dubai Economic Agenda D33" to advise clients on long-term sustainability and growth. Their ability to interpret macroeconomic trends and translate them into actionable business strategies has been a significant asset.</w:t>
      </w:r>
    </w:p>
    <w:p>
      <w:pPr>
        <w:pStyle w:val="BodyText"/>
      </w:pPr>
      <w:r>
        <w:t xml:space="preserve">Specifically, the consultant's work in identifying niche opportunities within the technology and renewable energy sectors aligns perfectly with the emirate's vision for diversification. The peer review panel notes that the consultant's proposals were not only theoretically sound but also practically viable within the local competitive environment.</w:t>
      </w:r>
    </w:p>
    <w:bookmarkEnd w:id="23"/>
    <w:bookmarkStart w:id="24" w:name="X083b1938737d17ef870fac22bc2162859b973a6"/>
    <w:p>
      <w:pPr>
        <w:pStyle w:val="Heading3"/>
      </w:pPr>
      <w:r>
        <w:t xml:space="preserve">3.2 Regulatory Compliance and Government Relations</w:t>
      </w:r>
    </w:p>
    <w:p>
      <w:pPr>
        <w:pStyle w:val="FirstParagraph"/>
      </w:pPr>
      <w:r>
        <w:t xml:space="preserve">Operating in Dubai requires meticulous attention to legal and regulatory frameworks. This Business Consultant has shown exceptional proficiency in navigating the complexities of the Department of Economic Development (DED) and various free zone regulations. The consultant ensured that all client ventures adhered to the latest corporate tax laws introduced in the UAE, thereby mitigating significant financial risks for stakeholders.</w:t>
      </w:r>
    </w:p>
    <w:p>
      <w:pPr>
        <w:pStyle w:val="BodyText"/>
      </w:pPr>
      <w:r>
        <w:t xml:space="preserve">Furthermore, the consultant maintained professional and effective communication channels with government entities, facilitating smoother licensing processes and approvals. This capability is critical for any Business Consultant operating in the United Arab Emirates Dubai, where government alignment is often a prerequisite for commercial success.</w:t>
      </w:r>
    </w:p>
    <w:bookmarkEnd w:id="24"/>
    <w:bookmarkStart w:id="25" w:name="X27ce2e7c71a7b40d984d4ab7cb17ee4e545c836"/>
    <w:p>
      <w:pPr>
        <w:pStyle w:val="Heading3"/>
      </w:pPr>
      <w:r>
        <w:t xml:space="preserve">3.3 Cultural Intelligence and Stakeholder Management</w:t>
      </w:r>
    </w:p>
    <w:p>
      <w:pPr>
        <w:pStyle w:val="FirstParagraph"/>
      </w:pPr>
      <w:r>
        <w:t xml:space="preserve">Dubai is a cosmopolitan city with a diverse population. A key strength identified in this Peer Review Report is the consultant's high level of cultural intelligence. The ability to build trust with both local Emirati stakeholders and international investors was evident in multiple case studies reviewed.</w:t>
      </w:r>
    </w:p>
    <w:p>
      <w:pPr>
        <w:pStyle w:val="BodyText"/>
      </w:pPr>
      <w:r>
        <w:t xml:space="preserve">The consultant demonstrated sensitivity to local business etiquette, negotiation styles, and communication norms. This cultural adaptability has been instrumental in fostering strong, long-term client relationships. The peer reviewers observed that the consultant's approach was inclusive and respectful, reflecting the professional standards expected in the UAE business community.</w:t>
      </w:r>
    </w:p>
    <w:bookmarkEnd w:id="25"/>
    <w:bookmarkStart w:id="26" w:name="X2308f4b2f9277c4afee4d0e416614de886d637c"/>
    <w:p>
      <w:pPr>
        <w:pStyle w:val="Heading3"/>
      </w:pPr>
      <w:r>
        <w:t xml:space="preserve">3.4 Operational Efficiency and Financial Acumen</w:t>
      </w:r>
    </w:p>
    <w:p>
      <w:pPr>
        <w:pStyle w:val="FirstParagraph"/>
      </w:pPr>
      <w:r>
        <w:t xml:space="preserve">From an operational standpoint, the Business Consultant provided robust financial modeling and cost-optimization strategies. The recommendations made regarding supply chain logistics and human resource management were data-driven and resulted in measurable improvements for clients.</w:t>
      </w:r>
    </w:p>
    <w:p>
      <w:pPr>
        <w:pStyle w:val="BodyText"/>
      </w:pPr>
      <w:r>
        <w:t xml:space="preserve">The consultant's ability to balance cost-efficiency with quality standards is particularly noteworthy. In the high-stakes environment of Dubai, where margins can be tight despite high revenues, this financial discipline is essential. The peer review confirms that the consultant's financial advice was accurate, transparent, and aligned with international accounting standards while respecting local fiscal policies.</w:t>
      </w:r>
    </w:p>
    <w:bookmarkEnd w:id="26"/>
    <w:bookmarkEnd w:id="27"/>
    <w:bookmarkStart w:id="28" w:name="areas-for-improvement"/>
    <w:p>
      <w:pPr>
        <w:pStyle w:val="Heading2"/>
      </w:pPr>
      <w:r>
        <w:t xml:space="preserve">4. Areas for Improvement</w:t>
      </w:r>
    </w:p>
    <w:p>
      <w:pPr>
        <w:pStyle w:val="FirstParagraph"/>
      </w:pPr>
      <w:r>
        <w:t xml:space="preserve">While the overall performance of the Business Consultant is highly satisfactory, this Peer Review Report identifies a few areas for potential enhancement:</w:t>
      </w:r>
    </w:p>
    <w:p>
      <w:pPr>
        <w:numPr>
          <w:ilvl w:val="0"/>
          <w:numId w:val="1002"/>
        </w:numPr>
        <w:pStyle w:val="Compact"/>
      </w:pPr>
      <w:r>
        <w:rPr>
          <w:bCs/>
          <w:b/>
        </w:rPr>
        <w:t xml:space="preserve">Digital Transformation Depth:</w:t>
      </w:r>
      <w:r>
        <w:t xml:space="preserve"> </w:t>
      </w:r>
      <w:r>
        <w:t xml:space="preserve">While the consultant is aware of digital trends, there is an opportunity to deepen expertise in AI and blockchain applications specific to the UAE's smart city initiatives.</w:t>
      </w:r>
    </w:p>
    <w:p>
      <w:pPr>
        <w:numPr>
          <w:ilvl w:val="0"/>
          <w:numId w:val="1002"/>
        </w:numPr>
        <w:pStyle w:val="Compact"/>
      </w:pPr>
      <w:r>
        <w:rPr>
          <w:bCs/>
          <w:b/>
        </w:rPr>
        <w:t xml:space="preserve">Local Talent Development:</w:t>
      </w:r>
      <w:r>
        <w:t xml:space="preserve"> </w:t>
      </w:r>
      <w:r>
        <w:t xml:space="preserve">Increasing focus on Emiratisation strategies within client organizations could further align the consultant's services with national priorities.</w:t>
      </w:r>
    </w:p>
    <w:bookmarkEnd w:id="28"/>
    <w:bookmarkStart w:id="29" w:name="conclusion-and-recommendation"/>
    <w:p>
      <w:pPr>
        <w:pStyle w:val="Heading2"/>
      </w:pPr>
      <w:r>
        <w:t xml:space="preserve">5. Conclusion and Recommendation</w:t>
      </w:r>
    </w:p>
    <w:p>
      <w:pPr>
        <w:pStyle w:val="FirstParagraph"/>
      </w:pPr>
      <w:r>
        <w:t xml:space="preserve">In conclusion, this Peer Review Report affirms that the Business Consultant has performed at a high level of professionalism and competence. Their contributions have been significant in helping clients navigate the unique opportunities and challenges presented by the United Arab Emirates Dubai market.</w:t>
      </w:r>
    </w:p>
    <w:p>
      <w:pPr>
        <w:pStyle w:val="BodyText"/>
      </w:pPr>
      <w:r>
        <w:t xml:space="preserve">The consultant's blend of strategic vision, regulatory knowledge, and cultural sensitivity makes them a valuable asset to any organization operating in the region. The peer review panel recommends continued engagement with this consultant and suggests that they take on more leadership roles in complex, multi-stakeholder projects.</w:t>
      </w:r>
    </w:p>
    <w:bookmarkEnd w:id="29"/>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Reviewer Name</w:t>
            </w:r>
          </w:p>
        </w:tc>
        <w:tc>
          <w:tcPr/>
          <w:p>
            <w:pPr>
              <w:pStyle w:val="Compact"/>
              <w:jc w:val="left"/>
            </w:pPr>
            <w:r>
              <w:t xml:space="preserve">Position</w:t>
            </w:r>
          </w:p>
        </w:tc>
        <w:tc>
          <w:tcPr/>
          <w:p>
            <w:pPr>
              <w:pStyle w:val="Compact"/>
              <w:jc w:val="left"/>
            </w:pPr>
            <w:r>
              <w:t xml:space="preserve">Signature</w:t>
            </w:r>
          </w:p>
        </w:tc>
      </w:tr>
      <w:tr>
        <w:tc>
          <w:tcPr/>
          <w:p>
            <w:pPr>
              <w:pStyle w:val="Compact"/>
              <w:jc w:val="left"/>
            </w:pPr>
            <w:r>
              <w:t xml:space="preserve">Dr. Ahmed Al-Mansoori</w:t>
            </w:r>
          </w:p>
        </w:tc>
        <w:tc>
          <w:tcPr/>
          <w:p>
            <w:pPr>
              <w:pStyle w:val="Compact"/>
              <w:jc w:val="left"/>
            </w:pPr>
            <w:r>
              <w:t xml:space="preserve">Senior Partner, Strategic Advisory</w:t>
            </w:r>
          </w:p>
        </w:tc>
        <w:tc>
          <w:tcPr/>
          <w:p>
            <w:pPr>
              <w:pStyle w:val="Compact"/>
              <w:jc w:val="left"/>
            </w:pPr>
            <w:r>
              <w:t xml:space="preserve">_______________________</w:t>
            </w:r>
          </w:p>
        </w:tc>
      </w:tr>
      <w:tr>
        <w:tc>
          <w:tcPr/>
          <w:p>
            <w:pPr>
              <w:pStyle w:val="Compact"/>
              <w:jc w:val="left"/>
            </w:pPr>
            <w:r>
              <w:t xml:space="preserve">Sarah Jenkins</w:t>
            </w:r>
          </w:p>
        </w:tc>
        <w:tc>
          <w:tcPr/>
          <w:p>
            <w:pPr>
              <w:pStyle w:val="Compact"/>
              <w:jc w:val="left"/>
            </w:pPr>
            <w:r>
              <w:t xml:space="preserve">Head of Operations, Dubai Branch</w:t>
            </w:r>
          </w:p>
        </w:tc>
        <w:tc>
          <w:tcPr/>
          <w:p>
            <w:pPr>
              <w:pStyle w:val="Compact"/>
              <w:jc w:val="left"/>
            </w:pPr>
            <w:r>
              <w:t xml:space="preserve">_______________________</w:t>
            </w:r>
          </w:p>
        </w:tc>
      </w:tr>
    </w:tbl>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Dubai, UAE</dc:title>
  <dc:creator/>
  <dc:language>en</dc:language>
  <cp:keywords/>
  <dcterms:created xsi:type="dcterms:W3CDTF">2026-10-10T05:52:25Z</dcterms:created>
  <dcterms:modified xsi:type="dcterms:W3CDTF">2026-10-10T05:52:25Z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