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and Compliance Assessment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Building Inspector /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regulatory compliance of a Carpenter operating within the Australia Melbourne metropolitan area. The review focuses on adherence to the National Construction Code (NCC), Australian Standards (AS), and local Victorian building regulations. The assessment covers structural carpentry, joinery, site safety practices, and overall workmanship quality. The findings indicate a high level of skill, with specific recommendations for continuous improvement in documentation and sustainability practices.</w:t>
      </w:r>
    </w:p>
    <w:bookmarkEnd w:id="21"/>
    <w:bookmarkStart w:id="22" w:name="introduction-and-scope"/>
    <w:p>
      <w:pPr>
        <w:pStyle w:val="Heading2"/>
      </w:pPr>
      <w:r>
        <w:t xml:space="preserve">2. Introduction and Scope</w:t>
      </w:r>
    </w:p>
    <w:p>
      <w:pPr>
        <w:pStyle w:val="FirstParagraph"/>
      </w:pPr>
      <w:r>
        <w:t xml:space="preserve">The construction industry in Australia Melbourne is characterized by diverse architectural styles, ranging from heritage-listed Victorian terraces to modern high-rise developments. A Carpenter in this environment must possess a versatile skill set and a deep understanding of local building codes. This Peer Review Report aims to provide an objective analysis of the Carpenter’s performance based on a series of site inspections, project audits, and peer interviews conducted over the past six months.</w:t>
      </w:r>
    </w:p>
    <w:p>
      <w:pPr>
        <w:pStyle w:val="BodyText"/>
      </w:pPr>
      <w:r>
        <w:t xml:space="preserve">The scope of this review includes:</w:t>
      </w:r>
    </w:p>
    <w:p>
      <w:pPr>
        <w:numPr>
          <w:ilvl w:val="0"/>
          <w:numId w:val="1001"/>
        </w:numPr>
        <w:pStyle w:val="Compact"/>
      </w:pPr>
      <w:r>
        <w:t xml:space="preserve">Assessment of structural framing and load-bearing elements.</w:t>
      </w:r>
    </w:p>
    <w:p>
      <w:pPr>
        <w:numPr>
          <w:ilvl w:val="0"/>
          <w:numId w:val="1001"/>
        </w:numPr>
        <w:pStyle w:val="Compact"/>
      </w:pPr>
      <w:r>
        <w:t xml:space="preserve">Evaluation of joinery and finish carpentry quality.</w:t>
      </w:r>
    </w:p>
    <w:p>
      <w:pPr>
        <w:numPr>
          <w:ilvl w:val="0"/>
          <w:numId w:val="1001"/>
        </w:numPr>
        <w:pStyle w:val="Compact"/>
      </w:pPr>
      <w:r>
        <w:t xml:space="preserve">Review of compliance with WorkSafe Victoria regulations.</w:t>
      </w:r>
    </w:p>
    <w:p>
      <w:pPr>
        <w:numPr>
          <w:ilvl w:val="0"/>
          <w:numId w:val="1001"/>
        </w:numPr>
        <w:pStyle w:val="Compact"/>
      </w:pPr>
      <w:r>
        <w:t xml:space="preserve">Analysis of material selection and sustainability practices.</w:t>
      </w:r>
    </w:p>
    <w:p>
      <w:pPr>
        <w:numPr>
          <w:ilvl w:val="0"/>
          <w:numId w:val="1001"/>
        </w:numPr>
        <w:pStyle w:val="Compact"/>
      </w:pPr>
      <w:r>
        <w:t xml:space="preserve">Feedback from project managers and subcontractors.</w:t>
      </w:r>
    </w:p>
    <w:bookmarkEnd w:id="22"/>
    <w:bookmarkStart w:id="25" w:name="technical-competency-and-workmanship"/>
    <w:p>
      <w:pPr>
        <w:pStyle w:val="Heading2"/>
      </w:pPr>
      <w:r>
        <w:t xml:space="preserve">3. Technical Competency and Workmanship</w:t>
      </w:r>
    </w:p>
    <w:bookmarkStart w:id="23" w:name="structural-carpentry"/>
    <w:p>
      <w:pPr>
        <w:pStyle w:val="Heading3"/>
      </w:pPr>
      <w:r>
        <w:t xml:space="preserve">3.1 Structural Carpentry</w:t>
      </w:r>
    </w:p>
    <w:p>
      <w:pPr>
        <w:pStyle w:val="FirstParagraph"/>
      </w:pPr>
      <w:r>
        <w:t xml:space="preserve">The Carpenter demonstrated exceptional skill in structural framing, adhering strictly to AS 1684 Residential Timber Frame Construction. Inspections of floor joists, wall frames, and roof trusses revealed precise measurements, secure connections, and proper use of bracing. The Carpenter’s ability to interpret complex architectural drawings and engineering specifications was particularly noteworthy, ensuring that all structural elements met the required load-bearing standards for Melbourne’s variable soil conditions.</w:t>
      </w:r>
    </w:p>
    <w:bookmarkEnd w:id="23"/>
    <w:bookmarkStart w:id="24" w:name="joinery-and-finish-carpentry"/>
    <w:p>
      <w:pPr>
        <w:pStyle w:val="Heading3"/>
      </w:pPr>
      <w:r>
        <w:t xml:space="preserve">3.2 Joinery and Finish Carpentry</w:t>
      </w:r>
    </w:p>
    <w:p>
      <w:pPr>
        <w:pStyle w:val="FirstParagraph"/>
      </w:pPr>
      <w:r>
        <w:t xml:space="preserve">In terms of joinery, the Carpenter exhibited a high level of craftsmanship. Custom cabinetry, window installations, and door frames were executed with meticulous attention to detail. The use of appropriate adhesives, fasteners, and sealing techniques ensured durability and weather resistance, which is crucial given Melbourne’s unpredictable climate. The finish quality was consistent with industry best practices, with minimal visible imperfections and smooth transitions between materials.</w:t>
      </w:r>
    </w:p>
    <w:bookmarkEnd w:id="24"/>
    <w:bookmarkEnd w:id="25"/>
    <w:bookmarkStart w:id="28" w:name="regulatory-compliance-and-safety"/>
    <w:p>
      <w:pPr>
        <w:pStyle w:val="Heading2"/>
      </w:pPr>
      <w:r>
        <w:t xml:space="preserve">4. Regulatory Compliance and Safety</w:t>
      </w:r>
    </w:p>
    <w:bookmarkStart w:id="26" w:name="X77c38fb4a9cd4d575bb3b727dc0ffdea2f895d3"/>
    <w:p>
      <w:pPr>
        <w:pStyle w:val="Heading3"/>
      </w:pPr>
      <w:r>
        <w:t xml:space="preserve">4.1 National Construction Code (NCC) and Australian Standards</w:t>
      </w:r>
    </w:p>
    <w:p>
      <w:pPr>
        <w:pStyle w:val="FirstParagraph"/>
      </w:pPr>
      <w:r>
        <w:t xml:space="preserve">The Carpenter’s work was found to be fully compliant with the National Construction Code (NCC) and relevant Australian Standards. This includes adherence to fire safety regulations, energy efficiency requirements, and accessibility standards. The use of certified timber products and proper treatment for termite resistance, as per AS 3660, was consistently observed across all inspected projects.</w:t>
      </w:r>
    </w:p>
    <w:bookmarkEnd w:id="26"/>
    <w:bookmarkStart w:id="27" w:name="worksafe-victoria-regulations"/>
    <w:p>
      <w:pPr>
        <w:pStyle w:val="Heading3"/>
      </w:pPr>
      <w:r>
        <w:t xml:space="preserve">4.2 WorkSafe Victoria Regulations</w:t>
      </w:r>
    </w:p>
    <w:p>
      <w:pPr>
        <w:pStyle w:val="FirstParagraph"/>
      </w:pPr>
      <w:r>
        <w:t xml:space="preserve">Safety on construction sites in Australia Melbourne is paramount. The Carpenter maintained a strong commitment to WorkSafe Victoria regulations, ensuring that all personal protective equipment (PPE) was worn and that tools and machinery were used safely. Site inspections revealed a clean and organized work environment, with proper storage of materials and clear signage for potential hazards. The Carpenter also demonstrated proactive communication with team members regarding safety protocols, contributing to a culture of safety on site.</w:t>
      </w:r>
    </w:p>
    <w:bookmarkEnd w:id="27"/>
    <w:bookmarkEnd w:id="28"/>
    <w:bookmarkStart w:id="29" w:name="Xb3f69d4ffc98c156852a0bdf32f6f345c60e49e"/>
    <w:p>
      <w:pPr>
        <w:pStyle w:val="Heading2"/>
      </w:pPr>
      <w:r>
        <w:t xml:space="preserve">5. Sustainability and Environmental Considerations</w:t>
      </w:r>
    </w:p>
    <w:p>
      <w:pPr>
        <w:pStyle w:val="FirstParagraph"/>
      </w:pPr>
      <w:r>
        <w:t xml:space="preserve">With increasing emphasis on sustainable building practices in Australia Melbourne, the Carpenter showed a commendable awareness of environmental considerations. The use of locally sourced timber and recycled materials was noted in several projects, reducing the carbon footprint associated with transportation. Additionally, the Carpenter implemented waste reduction strategies, such as precise cutting to minimize offcuts and proper disposal of hazardous materials. However, there is room for improvement in documenting these sustainable practices for future reference and client reporting.</w:t>
      </w:r>
    </w:p>
    <w:bookmarkEnd w:id="29"/>
    <w:bookmarkStart w:id="30" w:name="professionalism-and-communication"/>
    <w:p>
      <w:pPr>
        <w:pStyle w:val="Heading2"/>
      </w:pPr>
      <w:r>
        <w:t xml:space="preserve">6. Professionalism and Communication</w:t>
      </w:r>
    </w:p>
    <w:p>
      <w:pPr>
        <w:pStyle w:val="FirstParagraph"/>
      </w:pPr>
      <w:r>
        <w:t xml:space="preserve">The Carpenter’s professionalism was evident in their interactions with clients, architects, and fellow tradespeople. Clear and timely communication ensured that project timelines were met and any issues were addressed promptly. Feedback from peers highlighted the Carpenter’s collaborative approach and willingness to share knowledge, which contributed to a positive working environment. The Carpenter’s ability to adapt to changing project requirements and provide constructive solutions was particularly appreciated.</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Enhanced Documentation:</w:t>
      </w:r>
      <w:r>
        <w:t xml:space="preserve"> </w:t>
      </w:r>
      <w:r>
        <w:t xml:space="preserve">Implement a more systematic approach to documenting sustainable practices and material certifications for improved transparency and client reporting.</w:t>
      </w:r>
    </w:p>
    <w:p>
      <w:pPr>
        <w:numPr>
          <w:ilvl w:val="0"/>
          <w:numId w:val="1002"/>
        </w:numPr>
        <w:pStyle w:val="Compact"/>
      </w:pPr>
      <w:r>
        <w:rPr>
          <w:bCs/>
          <w:b/>
        </w:rPr>
        <w:t xml:space="preserve">Continuous Education:</w:t>
      </w:r>
      <w:r>
        <w:t xml:space="preserve"> </w:t>
      </w:r>
      <w:r>
        <w:t xml:space="preserve">Encourage participation in ongoing professional development courses, particularly in emerging building technologies and green construction methods.</w:t>
      </w:r>
    </w:p>
    <w:p>
      <w:pPr>
        <w:numPr>
          <w:ilvl w:val="0"/>
          <w:numId w:val="1002"/>
        </w:numPr>
        <w:pStyle w:val="Compact"/>
      </w:pPr>
      <w:r>
        <w:rPr>
          <w:bCs/>
          <w:b/>
        </w:rPr>
        <w:t xml:space="preserve">Heritage Restoration Skills:</w:t>
      </w:r>
      <w:r>
        <w:t xml:space="preserve"> </w:t>
      </w:r>
      <w:r>
        <w:t xml:space="preserve">Given Melbourne’s rich architectural heritage, consider specializing in heritage restoration techniques to expand service offerings and meet niche market demands.</w:t>
      </w:r>
    </w:p>
    <w:bookmarkEnd w:id="31"/>
    <w:bookmarkStart w:id="32" w:name="conclusion"/>
    <w:p>
      <w:pPr>
        <w:pStyle w:val="Heading2"/>
      </w:pPr>
      <w:r>
        <w:t xml:space="preserve">8. Conclusion</w:t>
      </w:r>
    </w:p>
    <w:p>
      <w:pPr>
        <w:pStyle w:val="FirstParagraph"/>
      </w:pPr>
      <w:r>
        <w:t xml:space="preserve">This Peer Review Report concludes that the Carpenter operating in Australia Melbourne demonstrates a high level of technical competency, regulatory compliance, and professionalism. Their work aligns with the rigorous standards expected in the Australian construction industry, and their commitment to safety and sustainability is commendable. With the implementation of the recommended improvements, the Carpenter is well-positioned to continue delivering exceptional results and contributing positively to the built environment in Melbourne.</w:t>
      </w:r>
    </w:p>
    <w:bookmarkEnd w:id="32"/>
    <w:p>
      <w:pPr>
        <w:pStyle w:val="BodyText"/>
      </w:pPr>
      <w:r>
        <w:rPr>
          <w:bCs/>
          <w:b/>
        </w:rPr>
        <w:t xml:space="preserve">Prepared By:</w:t>
      </w:r>
    </w:p>
    <w:p>
      <w:pPr>
        <w:pStyle w:val="BodyText"/>
      </w:pPr>
      <w:r>
        <w:t xml:space="preserve">___________________________</w:t>
      </w:r>
    </w:p>
    <w:p>
      <w:pPr>
        <w:pStyle w:val="BodyText"/>
      </w:pPr>
      <w:r>
        <w:t xml:space="preserve">Senior Building Inspector</w:t>
      </w:r>
    </w:p>
    <w:p>
      <w:pPr>
        <w:pStyle w:val="BodyText"/>
      </w:pPr>
      <w:r>
        <w:t xml:space="preserve">Peer Review Committee</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Australia Melbourne</dc:title>
  <dc:creator/>
  <dc:language>en</dc:language>
  <cp:keywords/>
  <dcterms:created xsi:type="dcterms:W3CDTF">2026-10-10T06:52:24Z</dcterms:created>
  <dcterms:modified xsi:type="dcterms:W3CDTF">2026-10-10T06:52:24Z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