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Germany</w:t>
      </w:r>
      <w:r>
        <w:t xml:space="preserve"> </w:t>
      </w:r>
      <w:r>
        <w:t xml:space="preserve">Berlin</w:t>
      </w:r>
    </w:p>
    <w:bookmarkStart w:id="20" w:name="X2b9f1fb625826af5b24f9fbeb353a7d41417fe6"/>
    <w:p>
      <w:pPr>
        <w:pStyle w:val="Heading1"/>
      </w:pPr>
      <w:r>
        <w:t xml:space="preserve">Peer Review Report: Chef Infrastructure Implementation</w:t>
      </w:r>
    </w:p>
    <w:p>
      <w:pPr>
        <w:pStyle w:val="FirstParagraph"/>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Executive Summary</w:t>
      </w:r>
    </w:p>
    <w:p>
      <w:pPr>
        <w:pStyle w:val="FirstParagraph"/>
      </w:pPr>
      <w:r>
        <w:t xml:space="preserve">This Peer Review Report evaluates the implementation and operational effectiveness of Chef, an infrastructure automation tool, within the technological ecosystem of Germany Berlin. The review focuses on Chef's role in managing configuration, deployment, and scalability for organizations operating in Berlin's dynamic tech environment. The report highlights key findings, strengths, areas for improvement, and recommendations tailored to the specific needs of businesses in Germany Berlin.</w:t>
      </w:r>
    </w:p>
    <w:bookmarkEnd w:id="21"/>
    <w:bookmarkStart w:id="22" w:name="introduction"/>
    <w:p>
      <w:pPr>
        <w:pStyle w:val="Heading2"/>
      </w:pPr>
      <w:r>
        <w:t xml:space="preserve">Introduction</w:t>
      </w:r>
    </w:p>
    <w:p>
      <w:pPr>
        <w:pStyle w:val="FirstParagraph"/>
      </w:pPr>
      <w:r>
        <w:t xml:space="preserve">Chef has emerged as a critical tool for automating infrastructure management, enabling organizations to streamline operations, reduce manual errors, and enhance scalability. In Germany Berlin, a hub for startups, fintech companies, and innovative enterprises, the adoption of Chef aligns with the city's emphasis on efficiency, innovation, and technological advancement. This report provides a comprehensive analysis of Chef's implementation, focusing on its integration with local workflows, compliance with German regulations, and its impact on operational efficiency.</w:t>
      </w:r>
    </w:p>
    <w:bookmarkEnd w:id="22"/>
    <w:bookmarkStart w:id="23" w:name="scope-of-the-review"/>
    <w:p>
      <w:pPr>
        <w:pStyle w:val="Heading2"/>
      </w:pPr>
      <w:r>
        <w:t xml:space="preserve">Scope of the Review</w:t>
      </w:r>
    </w:p>
    <w:p>
      <w:pPr>
        <w:pStyle w:val="FirstParagraph"/>
      </w:pPr>
      <w:r>
        <w:t xml:space="preserve">The Peer Review Report covers the following aspects of Chef's implementation in Germany Berlin:</w:t>
      </w:r>
    </w:p>
    <w:p>
      <w:pPr>
        <w:numPr>
          <w:ilvl w:val="0"/>
          <w:numId w:val="1001"/>
        </w:numPr>
        <w:pStyle w:val="Compact"/>
      </w:pPr>
      <w:r>
        <w:t xml:space="preserve">Configuration management and automation capabilities.</w:t>
      </w:r>
    </w:p>
    <w:p>
      <w:pPr>
        <w:numPr>
          <w:ilvl w:val="0"/>
          <w:numId w:val="1001"/>
        </w:numPr>
        <w:pStyle w:val="Compact"/>
      </w:pPr>
      <w:r>
        <w:t xml:space="preserve">Integration with existing IT infrastructure and tools.</w:t>
      </w:r>
    </w:p>
    <w:p>
      <w:pPr>
        <w:numPr>
          <w:ilvl w:val="0"/>
          <w:numId w:val="1001"/>
        </w:numPr>
        <w:pStyle w:val="Compact"/>
      </w:pPr>
      <w:r>
        <w:t xml:space="preserve">Compliance with German data protection laws, including GDPR.</w:t>
      </w:r>
    </w:p>
    <w:p>
      <w:pPr>
        <w:numPr>
          <w:ilvl w:val="0"/>
          <w:numId w:val="1001"/>
        </w:numPr>
        <w:pStyle w:val="Compact"/>
      </w:pPr>
      <w:r>
        <w:t xml:space="preserve">Scalability and performance in high-demand environments.</w:t>
      </w:r>
    </w:p>
    <w:p>
      <w:pPr>
        <w:numPr>
          <w:ilvl w:val="0"/>
          <w:numId w:val="1001"/>
        </w:numPr>
        <w:pStyle w:val="Compact"/>
      </w:pPr>
      <w:r>
        <w:t xml:space="preserve">User experience and adoption among technical teams.</w:t>
      </w:r>
    </w:p>
    <w:bookmarkEnd w:id="23"/>
    <w:bookmarkStart w:id="26" w:name="key-findings"/>
    <w:p>
      <w:pPr>
        <w:pStyle w:val="Heading2"/>
      </w:pPr>
      <w:r>
        <w:t xml:space="preserve">Key Findings</w:t>
      </w:r>
    </w:p>
    <w:bookmarkStart w:id="24" w:name="strengths"/>
    <w:p>
      <w:pPr>
        <w:pStyle w:val="Heading3"/>
      </w:pPr>
      <w:r>
        <w:t xml:space="preserve">Strengths</w:t>
      </w:r>
    </w:p>
    <w:p>
      <w:pPr>
        <w:pStyle w:val="FirstParagraph"/>
      </w:pPr>
      <w:r>
        <w:t xml:space="preserve">Chef has demonstrated significant strengths in its deployment within Germany Berlin. Its robust configuration management capabilities enable organizations to maintain consistency across diverse environments, reducing the risk of configuration drift. The tool's flexibility allows it to adapt to the unique requirements of Berlin's tech ecosystem, including support for cloud-native architectures and hybrid environments.</w:t>
      </w:r>
    </w:p>
    <w:p>
      <w:pPr>
        <w:pStyle w:val="BodyText"/>
      </w:pPr>
      <w:r>
        <w:t xml:space="preserve">Furthermore, Chef's compliance features are well-suited to the stringent regulatory landscape in Germany. Its ability to enforce policies and audit configurations ensures alignment with GDPR and other local regulations, providing peace of mind for organizations handling sensitive data.</w:t>
      </w:r>
    </w:p>
    <w:bookmarkEnd w:id="24"/>
    <w:bookmarkStart w:id="25" w:name="areas-for-improvement"/>
    <w:p>
      <w:pPr>
        <w:pStyle w:val="Heading3"/>
      </w:pPr>
      <w:r>
        <w:t xml:space="preserve">Areas for Improvement</w:t>
      </w:r>
    </w:p>
    <w:p>
      <w:pPr>
        <w:pStyle w:val="FirstParagraph"/>
      </w:pPr>
      <w:r>
        <w:t xml:space="preserve">Despite its strengths, the review identified areas where Chef's implementation could be enhanced. One notable challenge is the learning curve associated with mastering Chef's DSL (Domain-Specific Language), which can slow down onboarding for new team members. Additionally, while Chef's scalability is commendable, some organizations in Germany Berlin have reported performance bottlenecks during peak usage periods, particularly in large-scale deployments.</w:t>
      </w:r>
    </w:p>
    <w:bookmarkEnd w:id="25"/>
    <w:bookmarkEnd w:id="26"/>
    <w:bookmarkStart w:id="27" w:name="compliance-and-security"/>
    <w:p>
      <w:pPr>
        <w:pStyle w:val="Heading2"/>
      </w:pPr>
      <w:r>
        <w:t xml:space="preserve">Compliance and Security</w:t>
      </w:r>
    </w:p>
    <w:p>
      <w:pPr>
        <w:pStyle w:val="FirstParagraph"/>
      </w:pPr>
      <w:r>
        <w:t xml:space="preserve">In Germany Berlin, compliance with data protection laws is paramount. Chef's implementation has been evaluated for its ability to meet these requirements. The tool's encryption capabilities, role-based access control, and audit logging features are well-aligned with GDPR standards. However, organizations must ensure that their Chef configurations are regularly reviewed and updated to address evolving regulatory demands.</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proposed to optimize Chef's implementation in Germany Berlin:</w:t>
      </w:r>
    </w:p>
    <w:p>
      <w:pPr>
        <w:numPr>
          <w:ilvl w:val="0"/>
          <w:numId w:val="1002"/>
        </w:numPr>
        <w:pStyle w:val="Compact"/>
      </w:pPr>
      <w:r>
        <w:t xml:space="preserve">Invest in training programs to reduce the learning curve for Chef's DSL and improve team proficiency.</w:t>
      </w:r>
    </w:p>
    <w:p>
      <w:pPr>
        <w:numPr>
          <w:ilvl w:val="0"/>
          <w:numId w:val="1002"/>
        </w:numPr>
        <w:pStyle w:val="Compact"/>
      </w:pPr>
      <w:r>
        <w:t xml:space="preserve">Conduct regular performance audits to identify and resolve bottlenecks in large-scale deployments.</w:t>
      </w:r>
    </w:p>
    <w:p>
      <w:pPr>
        <w:numPr>
          <w:ilvl w:val="0"/>
          <w:numId w:val="1002"/>
        </w:numPr>
        <w:pStyle w:val="Compact"/>
      </w:pPr>
      <w:r>
        <w:t xml:space="preserve">Enhance integration with local tools and platforms to streamline workflows and improve efficiency.</w:t>
      </w:r>
    </w:p>
    <w:p>
      <w:pPr>
        <w:numPr>
          <w:ilvl w:val="0"/>
          <w:numId w:val="1002"/>
        </w:numPr>
        <w:pStyle w:val="Compact"/>
      </w:pPr>
      <w:r>
        <w:t xml:space="preserve">Establish a governance framework to ensure ongoing compliance with German regulations.</w:t>
      </w:r>
    </w:p>
    <w:bookmarkEnd w:id="28"/>
    <w:bookmarkStart w:id="29" w:name="conclusion"/>
    <w:p>
      <w:pPr>
        <w:pStyle w:val="Heading2"/>
      </w:pPr>
      <w:r>
        <w:t xml:space="preserve">Conclusion</w:t>
      </w:r>
    </w:p>
    <w:p>
      <w:pPr>
        <w:pStyle w:val="FirstParagraph"/>
      </w:pPr>
      <w:r>
        <w:t xml:space="preserve">Chef has proven to be a valuable asset for organizations in Germany Berlin, offering robust automation capabilities and strong compliance features. By addressing the identified areas for improvement and implementing the recommended strategies, businesses can further leverage Chef to drive innovation, enhance operational efficiency, and maintain a competitive edge in Berlin's dynamic tech landscape.</w:t>
      </w:r>
    </w:p>
    <w:bookmarkEnd w:id="29"/>
    <w:bookmarkStart w:id="30" w:name="appendix"/>
    <w:p>
      <w:pPr>
        <w:pStyle w:val="Heading2"/>
      </w:pPr>
      <w:r>
        <w:t xml:space="preserve">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Current Status</w:t>
            </w:r>
          </w:p>
        </w:tc>
        <w:tc>
          <w:tcPr/>
          <w:p>
            <w:pPr>
              <w:pStyle w:val="Compact"/>
              <w:jc w:val="left"/>
            </w:pPr>
            <w:r>
              <w:t xml:space="preserve">Target</w:t>
            </w:r>
          </w:p>
        </w:tc>
      </w:tr>
      <w:tr>
        <w:tc>
          <w:tcPr/>
          <w:p>
            <w:pPr>
              <w:pStyle w:val="Compact"/>
              <w:jc w:val="left"/>
            </w:pPr>
            <w:r>
              <w:t xml:space="preserve">Configuration Consistency</w:t>
            </w:r>
          </w:p>
        </w:tc>
        <w:tc>
          <w:tcPr/>
          <w:p>
            <w:pPr>
              <w:pStyle w:val="Compact"/>
              <w:jc w:val="left"/>
            </w:pPr>
            <w:r>
              <w:t xml:space="preserve">90%</w:t>
            </w:r>
          </w:p>
        </w:tc>
        <w:tc>
          <w:tcPr/>
          <w:p>
            <w:pPr>
              <w:pStyle w:val="Compact"/>
              <w:jc w:val="left"/>
            </w:pPr>
            <w:r>
              <w:t xml:space="preserve">98%</w:t>
            </w:r>
          </w:p>
        </w:tc>
      </w:tr>
      <w:tr>
        <w:tc>
          <w:tcPr/>
          <w:p>
            <w:pPr>
              <w:pStyle w:val="Compact"/>
              <w:jc w:val="left"/>
            </w:pPr>
            <w:r>
              <w:t xml:space="preserve">Compliance Adherence</w:t>
            </w:r>
          </w:p>
        </w:tc>
        <w:tc>
          <w:tcPr/>
          <w:p>
            <w:pPr>
              <w:pStyle w:val="Compact"/>
              <w:jc w:val="left"/>
            </w:pPr>
            <w:r>
              <w:t xml:space="preserve">95%</w:t>
            </w:r>
          </w:p>
        </w:tc>
        <w:tc>
          <w:tcPr/>
          <w:p>
            <w:pPr>
              <w:pStyle w:val="Compact"/>
              <w:jc w:val="left"/>
            </w:pPr>
            <w:r>
              <w:t xml:space="preserve">100%</w:t>
            </w:r>
          </w:p>
        </w:tc>
      </w:tr>
      <w:tr>
        <w:tc>
          <w:tcPr/>
          <w:p>
            <w:pPr>
              <w:pStyle w:val="Compact"/>
              <w:jc w:val="left"/>
            </w:pPr>
            <w:r>
              <w:t xml:space="preserve">Team Proficiency</w:t>
            </w:r>
          </w:p>
        </w:tc>
        <w:tc>
          <w:tcPr/>
          <w:p>
            <w:pPr>
              <w:pStyle w:val="Compact"/>
              <w:jc w:val="left"/>
            </w:pPr>
            <w:r>
              <w:t xml:space="preserve">75%</w:t>
            </w:r>
          </w:p>
        </w:tc>
        <w:tc>
          <w:tcPr/>
          <w:p>
            <w:pPr>
              <w:pStyle w:val="Compact"/>
              <w:jc w:val="left"/>
            </w:pPr>
            <w:r>
              <w:t xml:space="preserve">90%</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Germany Berlin</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