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34" w:name="Xa1578ee7348aeb93c9be067ca83a9e2c12ad0bf"/>
    <w:p>
      <w:pPr>
        <w:pStyle w:val="Heading1"/>
      </w:pPr>
      <w:r>
        <w:t xml:space="preserve">Peer Review Report: Chef Infrastructure Automation</w:t>
      </w:r>
    </w:p>
    <w:p>
      <w:pPr>
        <w:pStyle w:val="FirstParagraph"/>
      </w:pPr>
      <w:r>
        <w:rPr>
          <w:bCs/>
          <w:b/>
        </w:rPr>
        <w:t xml:space="preserve">Project Location:</w:t>
      </w:r>
      <w:r>
        <w:t xml:space="preserve"> </w:t>
      </w:r>
      <w:r>
        <w:t xml:space="preserve">Israel Tel Aviv</w:t>
      </w:r>
    </w:p>
    <w:p>
      <w:pPr>
        <w:pStyle w:val="BodyText"/>
      </w:pPr>
      <w:r>
        <w:rPr>
          <w:bCs/>
          <w:b/>
        </w:rPr>
        <w:t xml:space="preserve">Subject:</w:t>
      </w:r>
      <w:r>
        <w:t xml:space="preserve"> </w:t>
      </w:r>
      <w:r>
        <w:t xml:space="preserve">Chef Configuration Management Implementation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implementation, configuration, and operational efficiency of the Chef automation framework within the infrastructure environment located in Israel Tel Aviv. The primary objective of this review is to ensure that the Chef deployment aligns with global best practices while addressing the specific regulatory, cultural, and technical requirements of the Tel Aviv data center operations. The review covers code quality, security compliance, performance optimization, and localization considerations.</w:t>
      </w:r>
    </w:p>
    <w:bookmarkEnd w:id="20"/>
    <w:bookmarkStart w:id="21" w:name="scope-of-review"/>
    <w:p>
      <w:pPr>
        <w:pStyle w:val="Heading2"/>
      </w:pPr>
      <w:r>
        <w:t xml:space="preserve">2. Scope of Review</w:t>
      </w:r>
    </w:p>
    <w:p>
      <w:pPr>
        <w:pStyle w:val="FirstParagraph"/>
      </w:pPr>
      <w:r>
        <w:t xml:space="preserve">The scope of this Peer Review Report encompasses the following areas related to the Chef deployment in Israel Tel Aviv:</w:t>
      </w:r>
    </w:p>
    <w:p>
      <w:pPr>
        <w:numPr>
          <w:ilvl w:val="0"/>
          <w:numId w:val="1001"/>
        </w:numPr>
        <w:pStyle w:val="Compact"/>
      </w:pPr>
      <w:r>
        <w:t xml:space="preserve">Cookbook structure and idempotency.</w:t>
      </w:r>
    </w:p>
    <w:p>
      <w:pPr>
        <w:numPr>
          <w:ilvl w:val="0"/>
          <w:numId w:val="1001"/>
        </w:numPr>
        <w:pStyle w:val="Compact"/>
      </w:pPr>
      <w:r>
        <w:t xml:space="preserve">Security configurations and compliance with Israeli data protection standards.</w:t>
      </w:r>
    </w:p>
    <w:p>
      <w:pPr>
        <w:numPr>
          <w:ilvl w:val="0"/>
          <w:numId w:val="1001"/>
        </w:numPr>
        <w:pStyle w:val="Compact"/>
      </w:pPr>
      <w:r>
        <w:t xml:space="preserve">Performance metrics of Chef Server and Chef Workstations.</w:t>
      </w:r>
    </w:p>
    <w:p>
      <w:pPr>
        <w:numPr>
          <w:ilvl w:val="0"/>
          <w:numId w:val="1001"/>
        </w:numPr>
        <w:pStyle w:val="Compact"/>
      </w:pPr>
      <w:r>
        <w:t xml:space="preserve">Integration with local network infrastructure in Tel Aviv.</w:t>
      </w:r>
    </w:p>
    <w:p>
      <w:pPr>
        <w:numPr>
          <w:ilvl w:val="0"/>
          <w:numId w:val="1001"/>
        </w:numPr>
        <w:pStyle w:val="Compact"/>
      </w:pPr>
      <w:r>
        <w:t xml:space="preserve">Documentation and knowledge transfer for local engineering teams.</w:t>
      </w:r>
    </w:p>
    <w:bookmarkEnd w:id="21"/>
    <w:bookmarkStart w:id="25" w:name="technical-assessment"/>
    <w:p>
      <w:pPr>
        <w:pStyle w:val="Heading2"/>
      </w:pPr>
      <w:r>
        <w:t xml:space="preserve">3. Technical Assessment</w:t>
      </w:r>
    </w:p>
    <w:bookmarkStart w:id="22" w:name="cookbook-quality-and-idempotency"/>
    <w:p>
      <w:pPr>
        <w:pStyle w:val="Heading3"/>
      </w:pPr>
      <w:r>
        <w:t xml:space="preserve">3.1 Cookbook Quality and Idempotency</w:t>
      </w:r>
    </w:p>
    <w:p>
      <w:pPr>
        <w:pStyle w:val="FirstParagraph"/>
      </w:pPr>
      <w:r>
        <w:t xml:space="preserve">The review team analyzed the custom cookbooks developed for the Israel Tel Aviv environment. The majority of the resources demonstrate high-quality Ruby code and proper use of Chef DSL. However, several instances of non-idempotent operations were identified in the database configuration recipes. It is critical that all Chef runs produce consistent results regardless of how many times they are executed. The team must refactor these recipes to ensure strict idempotency, particularly for services handling sensitive financial data common in Tel Aviv's tech sector.</w:t>
      </w:r>
    </w:p>
    <w:bookmarkEnd w:id="22"/>
    <w:bookmarkStart w:id="23" w:name="security-and-compliance"/>
    <w:p>
      <w:pPr>
        <w:pStyle w:val="Heading3"/>
      </w:pPr>
      <w:r>
        <w:t xml:space="preserve">3.2 Security and Compliance</w:t>
      </w:r>
    </w:p>
    <w:p>
      <w:pPr>
        <w:pStyle w:val="FirstParagraph"/>
      </w:pPr>
      <w:r>
        <w:t xml:space="preserve">Security is paramount in the Israel Tel Aviv region due to stringent data sovereignty laws. The Chef Server encryption settings were reviewed and found to be compliant with AES-256 standards. However, the Peer Review Report highlights a need for enhanced role-based access control (RBAC) configurations. Currently, access levels are too broad for junior engineers. We recommend implementing granular permissions to ensure that only authorized personnel can modify production nodes in the Tel Aviv data center. Additionally, all Chef client keys must be rotated regularly to maintain security integrity.</w:t>
      </w:r>
    </w:p>
    <w:bookmarkEnd w:id="23"/>
    <w:bookmarkStart w:id="24" w:name="performance-optimization"/>
    <w:p>
      <w:pPr>
        <w:pStyle w:val="Heading3"/>
      </w:pPr>
      <w:r>
        <w:t xml:space="preserve">3.3 Performance Optimization</w:t>
      </w:r>
    </w:p>
    <w:p>
      <w:pPr>
        <w:pStyle w:val="FirstParagraph"/>
      </w:pPr>
      <w:r>
        <w:t xml:space="preserve">Performance testing of the Chef Server revealed acceptable response times for the current number of nodes. However, as the infrastructure in Israel Tel Aviv scales, the current single-server setup may become a bottleneck. The Peer Review Report recommends transitioning to a high-availability Chef Server cluster. This will ensure uninterrupted configuration management during peak operational hours and maintenance windows. Furthermore, optimizing the frequency of Chef client runs can reduce load on the server and improve overall system responsiveness.</w:t>
      </w:r>
    </w:p>
    <w:bookmarkEnd w:id="24"/>
    <w:bookmarkEnd w:id="25"/>
    <w:bookmarkStart w:id="29" w:name="localization-and-regional-considerations"/>
    <w:p>
      <w:pPr>
        <w:pStyle w:val="Heading2"/>
      </w:pPr>
      <w:r>
        <w:t xml:space="preserve">4. Localization and Regional Considerations</w:t>
      </w:r>
    </w:p>
    <w:bookmarkStart w:id="26" w:name="time-zone-and-scheduling"/>
    <w:p>
      <w:pPr>
        <w:pStyle w:val="Heading3"/>
      </w:pPr>
      <w:r>
        <w:t xml:space="preserve">4.1 Time Zone and Scheduling</w:t>
      </w:r>
    </w:p>
    <w:p>
      <w:pPr>
        <w:pStyle w:val="FirstParagraph"/>
      </w:pPr>
      <w:r>
        <w:t xml:space="preserve">The Chef run schedules must align with the Israel Standard Time (IST) zone. The current configuration uses UTC, which can lead to confusion during incident response. We recommend adjusting all cron jobs and scheduled Chef runs to reflect IST. This ensures that maintenance windows and automated updates occur during off-peak hours for the Tel Aviv office, minimizing disruption to local business operations.</w:t>
      </w:r>
    </w:p>
    <w:bookmarkEnd w:id="26"/>
    <w:bookmarkStart w:id="27" w:name="language-and-documentation"/>
    <w:p>
      <w:pPr>
        <w:pStyle w:val="Heading3"/>
      </w:pPr>
      <w:r>
        <w:t xml:space="preserve">4.2 Language and Documentation</w:t>
      </w:r>
    </w:p>
    <w:p>
      <w:pPr>
        <w:pStyle w:val="FirstParagraph"/>
      </w:pPr>
      <w:r>
        <w:t xml:space="preserve">While the technical implementation is in English, the Peer Review Report notes that documentation should be bilingual (English and Hebrew) to facilitate better understanding among all team members in Israel Tel Aviv. This includes error messages, runbooks, and troubleshooting guides. Clear communication is essential for rapid resolution of infrastructure issues.</w:t>
      </w:r>
    </w:p>
    <w:bookmarkEnd w:id="27"/>
    <w:bookmarkStart w:id="28" w:name="regulatory-compliance"/>
    <w:p>
      <w:pPr>
        <w:pStyle w:val="Heading3"/>
      </w:pPr>
      <w:r>
        <w:t xml:space="preserve">4.3 Regulatory Compliance</w:t>
      </w:r>
    </w:p>
    <w:p>
      <w:pPr>
        <w:pStyle w:val="FirstParagraph"/>
      </w:pPr>
      <w:r>
        <w:t xml:space="preserve">The Chef configurations must adhere to Israeli cybersecurity regulations, including the Protection of Privacy Law. The review found that logging mechanisms are adequate but should be enhanced to capture detailed audit trails for all configuration changes. This is crucial for compliance audits and forensic analysis in case of security incidents.</w:t>
      </w:r>
    </w:p>
    <w:bookmarkEnd w:id="28"/>
    <w:bookmarkEnd w:id="29"/>
    <w:bookmarkStart w:id="32" w:name="findings-and-recommendations"/>
    <w:p>
      <w:pPr>
        <w:pStyle w:val="Heading2"/>
      </w:pPr>
      <w:r>
        <w:t xml:space="preserve">5. Findings and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Issue ID</w:t>
            </w:r>
          </w:p>
        </w:tc>
        <w:tc>
          <w:tcPr/>
          <w:p>
            <w:pPr>
              <w:pStyle w:val="Compact"/>
              <w:jc w:val="left"/>
            </w:pPr>
            <w:r>
              <w:t xml:space="preserve">Description</w:t>
            </w:r>
          </w:p>
        </w:tc>
        <w:tc>
          <w:tcPr/>
          <w:p>
            <w:pPr>
              <w:pStyle w:val="Compact"/>
              <w:jc w:val="left"/>
            </w:pPr>
            <w:r>
              <w:t xml:space="preserve">Severity</w:t>
            </w:r>
          </w:p>
        </w:tc>
        <w:tc>
          <w:tcPr/>
          <w:p>
            <w:pPr>
              <w:pStyle w:val="Compact"/>
              <w:jc w:val="left"/>
            </w:pPr>
            <w:r>
              <w:t xml:space="preserve">Recommendation</w:t>
            </w:r>
          </w:p>
        </w:tc>
      </w:tr>
      <w:tr>
        <w:tc>
          <w:tcPr/>
          <w:p>
            <w:pPr>
              <w:pStyle w:val="Compact"/>
              <w:jc w:val="left"/>
            </w:pPr>
            <w:r>
              <w:t xml:space="preserve">PR-001</w:t>
            </w:r>
          </w:p>
        </w:tc>
        <w:tc>
          <w:tcPr/>
          <w:p>
            <w:pPr>
              <w:pStyle w:val="Compact"/>
              <w:jc w:val="left"/>
            </w:pPr>
            <w:r>
              <w:t xml:space="preserve">Non-idempotent database recipes</w:t>
            </w:r>
          </w:p>
        </w:tc>
        <w:tc>
          <w:tcPr/>
          <w:p>
            <w:pPr>
              <w:pStyle w:val="Compact"/>
              <w:jc w:val="left"/>
            </w:pPr>
            <w:r>
              <w:t xml:space="preserve">High</w:t>
            </w:r>
          </w:p>
        </w:tc>
        <w:tc>
          <w:tcPr/>
          <w:p>
            <w:pPr>
              <w:pStyle w:val="Compact"/>
              <w:jc w:val="left"/>
            </w:pPr>
            <w:r>
              <w:t xml:space="preserve">Refactor recipes to ensure consistent state.</w:t>
            </w:r>
          </w:p>
        </w:tc>
      </w:tr>
      <w:tr>
        <w:tc>
          <w:tcPr/>
          <w:p>
            <w:pPr>
              <w:pStyle w:val="Compact"/>
              <w:jc w:val="left"/>
            </w:pPr>
            <w:r>
              <w:t xml:space="preserve">PR-002</w:t>
            </w:r>
          </w:p>
        </w:tc>
        <w:tc>
          <w:tcPr/>
          <w:p>
            <w:pPr>
              <w:pStyle w:val="Compact"/>
              <w:jc w:val="left"/>
            </w:pPr>
            <w:r>
              <w:t xml:space="preserve">Broad RBAC permissions</w:t>
            </w:r>
          </w:p>
        </w:tc>
        <w:tc>
          <w:tcPr/>
          <w:p>
            <w:pPr>
              <w:pStyle w:val="Compact"/>
              <w:jc w:val="left"/>
            </w:pPr>
            <w:r>
              <w:t xml:space="preserve">High</w:t>
            </w:r>
          </w:p>
        </w:tc>
        <w:tc>
          <w:tcPr/>
          <w:p>
            <w:pPr>
              <w:pStyle w:val="Compact"/>
              <w:jc w:val="left"/>
            </w:pPr>
            <w:r>
              <w:t xml:space="preserve">Implement granular access controls.</w:t>
            </w:r>
          </w:p>
        </w:tc>
      </w:tr>
      <w:tr>
        <w:tc>
          <w:tcPr/>
          <w:p>
            <w:pPr>
              <w:pStyle w:val="Compact"/>
              <w:jc w:val="left"/>
            </w:pPr>
            <w:r>
              <w:t xml:space="preserve">PR-003</w:t>
            </w:r>
          </w:p>
        </w:tc>
        <w:tc>
          <w:tcPr/>
          <w:p>
            <w:pPr>
              <w:pStyle w:val="Compact"/>
              <w:jc w:val="left"/>
            </w:pPr>
            <w:r>
              <w:t xml:space="preserve">Single-point-of-failure Chef Server</w:t>
            </w:r>
          </w:p>
        </w:tc>
        <w:tc>
          <w:tcPr/>
          <w:p>
            <w:pPr>
              <w:pStyle w:val="Compact"/>
              <w:jc w:val="left"/>
            </w:pPr>
            <w:r>
              <w:t xml:space="preserve">Medium</w:t>
            </w:r>
          </w:p>
        </w:tc>
        <w:tc>
          <w:tcPr/>
          <w:p>
            <w:pPr>
              <w:pStyle w:val="Compact"/>
              <w:jc w:val="left"/>
            </w:pPr>
            <w:r>
              <w:t xml:space="preserve">Deploy high-availability cluster.</w:t>
            </w:r>
          </w:p>
        </w:tc>
      </w:tr>
      <w:tr>
        <w:tc>
          <w:tcPr/>
          <w:p>
            <w:pPr>
              <w:pStyle w:val="Compact"/>
              <w:jc w:val="left"/>
            </w:pPr>
            <w:r>
              <w:t xml:space="preserve">PR-004</w:t>
            </w:r>
          </w:p>
        </w:tc>
        <w:tc>
          <w:tcPr/>
          <w:p>
            <w:pPr>
              <w:pStyle w:val="Compact"/>
              <w:jc w:val="left"/>
            </w:pPr>
            <w:r>
              <w:t xml:space="preserve">UTC-based scheduling</w:t>
            </w:r>
          </w:p>
        </w:tc>
        <w:tc>
          <w:tcPr/>
          <w:p>
            <w:pPr>
              <w:pStyle w:val="Compact"/>
              <w:jc w:val="left"/>
            </w:pPr>
            <w:r>
              <w:t xml:space="preserve">Low</w:t>
            </w:r>
          </w:p>
        </w:tc>
        <w:tc>
          <w:tcPr/>
          <w:p>
            <w:pPr>
              <w:pStyle w:val="Compact"/>
              <w:jc w:val="left"/>
            </w:pPr>
            <w:r>
              <w:t xml:space="preserve">Adjust schedules to Israel Standard Time.</w:t>
            </w:r>
          </w:p>
        </w:tc>
      </w:tr>
      <w:tr>
        <w:tc>
          <w:tcPr/>
          <w:p>
            <w:pPr>
              <w:pStyle w:val="Compact"/>
              <w:jc w:val="left"/>
            </w:pPr>
            <w:r>
              <w:t xml:space="preserve">PR-005</w:t>
            </w:r>
          </w:p>
        </w:tc>
        <w:tc>
          <w:tcPr/>
          <w:p>
            <w:pPr>
              <w:pStyle w:val="Compact"/>
              <w:jc w:val="left"/>
            </w:pPr>
            <w:r>
              <w:t xml:space="preserve">Lack of bilingual documentation</w:t>
            </w:r>
          </w:p>
        </w:tc>
        <w:tc>
          <w:tcPr/>
          <w:p>
            <w:pPr>
              <w:pStyle w:val="Compact"/>
              <w:jc w:val="left"/>
            </w:pPr>
            <w:r>
              <w:t xml:space="preserve">Low</w:t>
            </w:r>
          </w:p>
        </w:tc>
        <w:tc>
          <w:tcPr/>
          <w:p>
            <w:pPr>
              <w:pStyle w:val="Compact"/>
              <w:jc w:val="left"/>
            </w:pPr>
            <w:r>
              <w:t xml:space="preserve">Translate critical docs to Hebrew.</w:t>
            </w:r>
          </w:p>
        </w:tc>
      </w:tr>
    </w:tbl>
    <w:bookmarkStart w:id="30" w:name="key-recommendation"/>
    <w:p>
      <w:pPr>
        <w:pStyle w:val="Heading3"/>
      </w:pPr>
      <w:r>
        <w:t xml:space="preserve">Key Recommendation</w:t>
      </w:r>
    </w:p>
    <w:p>
      <w:pPr>
        <w:pStyle w:val="FirstParagraph"/>
      </w:pPr>
      <w:r>
        <w:t xml:space="preserve">The Peer Review Report strongly advises the immediate implementation of a high-availability Chef Server cluster in Israel Tel Aviv. This will not only improve performance but also ensure business continuity in line with the region's high standards for IT reliability.</w:t>
      </w:r>
    </w:p>
    <w:bookmarkEnd w:id="30"/>
    <w:bookmarkStart w:id="31" w:name="warning"/>
    <w:p>
      <w:pPr>
        <w:pStyle w:val="Heading3"/>
      </w:pPr>
      <w:r>
        <w:t xml:space="preserve">Warning</w:t>
      </w:r>
    </w:p>
    <w:p>
      <w:pPr>
        <w:pStyle w:val="FirstParagraph"/>
      </w:pPr>
      <w:r>
        <w:t xml:space="preserve">Failure to address the non-idempotent recipes and RBAC issues may lead to configuration drift and security vulnerabilities, which could have significant operational and legal consequences in the Israel Tel Aviv jurisdiction.</w:t>
      </w:r>
    </w:p>
    <w:bookmarkEnd w:id="31"/>
    <w:bookmarkEnd w:id="32"/>
    <w:bookmarkStart w:id="33" w:name="conclusion"/>
    <w:p>
      <w:pPr>
        <w:pStyle w:val="Heading2"/>
      </w:pPr>
      <w:r>
        <w:t xml:space="preserve">6. Conclusion</w:t>
      </w:r>
    </w:p>
    <w:p>
      <w:pPr>
        <w:pStyle w:val="FirstParagraph"/>
      </w:pPr>
      <w:r>
        <w:t xml:space="preserve">This Peer Review Report provides a comprehensive assessment of the Chef implementation in Israel Tel Aviv. While the current setup is functional, there are critical areas that require attention to ensure long-term stability, security, and compliance. By addressing the findings and recommendations outlined in this document, the engineering team can optimize the Chef infrastructure to better serve the needs of the Tel Aviv operations. Continuous monitoring and regular peer reviews are essential to maintain the high standards expected in this dynamic technological environment.</w:t>
      </w:r>
    </w:p>
    <w:p>
      <w:pPr>
        <w:pStyle w:val="BodyText"/>
      </w:pPr>
      <w:r>
        <w:rPr>
          <w:bCs/>
          <w:b/>
        </w:rPr>
        <w:t xml:space="preserve">Prepared by:</w:t>
      </w:r>
      <w:r>
        <w:t xml:space="preserve"> </w:t>
      </w:r>
      <w:r>
        <w:t xml:space="preserve">Senior DevOps Engineering Team</w:t>
      </w:r>
    </w:p>
    <w:p>
      <w:pPr>
        <w:pStyle w:val="BodyText"/>
      </w:pPr>
      <w:r>
        <w:rPr>
          <w:bCs/>
          <w:b/>
        </w:rPr>
        <w:t xml:space="preserve">Approved by:</w:t>
      </w:r>
      <w:r>
        <w:t xml:space="preserve"> </w:t>
      </w:r>
      <w:r>
        <w:t xml:space="preserve">Chief Technology Officer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Configuration Management in Israel Tel Aviv</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