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Chemical Engineer</w:t>
      </w:r>
    </w:p>
    <w:p>
      <w:pPr>
        <w:pStyle w:val="BodyText"/>
      </w:pPr>
      <w:r>
        <w:rPr>
          <w:bCs/>
          <w:b/>
        </w:rPr>
        <w:t xml:space="preserve">Location:</w:t>
      </w:r>
      <w:r>
        <w:t xml:space="preserve"> </w:t>
      </w:r>
      <w:r>
        <w:t xml:space="preserve">Australia Melbourne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ethical conduct of a Chemical Engineer practicing in Australia Melbourne. The review aims to ensure that the engineer's work aligns with the standards set by Engineers Australia and adheres to the local regulatory requirements and industry best practices. The assessment covers various aspects of the engineer's performance, including project management, technical skills, safety compliance, and professional development.</w:t>
      </w:r>
    </w:p>
    <w:bookmarkEnd w:id="21"/>
    <w:bookmarkStart w:id="22" w:name="background-information"/>
    <w:p>
      <w:pPr>
        <w:pStyle w:val="Heading2"/>
      </w:pPr>
      <w:r>
        <w:t xml:space="preserve">2. Background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Engineer's Name</w:t>
            </w:r>
          </w:p>
        </w:tc>
        <w:tc>
          <w:tcPr/>
          <w:p>
            <w:pPr>
              <w:pStyle w:val="Compact"/>
              <w:jc w:val="left"/>
            </w:pPr>
            <w:r>
              <w:t xml:space="preserve">[Engineer's Name]</w:t>
            </w:r>
          </w:p>
        </w:tc>
      </w:tr>
      <w:tr>
        <w:tc>
          <w:tcPr/>
          <w:p>
            <w:pPr>
              <w:pStyle w:val="Compact"/>
              <w:jc w:val="left"/>
            </w:pPr>
            <w:r>
              <w:t xml:space="preserve">Position</w:t>
            </w:r>
          </w:p>
        </w:tc>
        <w:tc>
          <w:tcPr/>
          <w:p>
            <w:pPr>
              <w:pStyle w:val="Compact"/>
              <w:jc w:val="left"/>
            </w:pPr>
            <w:r>
              <w:t xml:space="preserve">Chemical Engineer</w:t>
            </w:r>
          </w:p>
        </w:tc>
      </w:tr>
      <w:tr>
        <w:tc>
          <w:tcPr/>
          <w:p>
            <w:pPr>
              <w:pStyle w:val="Compact"/>
              <w:jc w:val="left"/>
            </w:pPr>
            <w:r>
              <w:t xml:space="preserve">Company</w:t>
            </w:r>
          </w:p>
        </w:tc>
        <w:tc>
          <w:tcPr/>
          <w:p>
            <w:pPr>
              <w:pStyle w:val="Compact"/>
              <w:jc w:val="left"/>
            </w:pPr>
            <w:r>
              <w:t xml:space="preserve">[Company Name]</w:t>
            </w:r>
          </w:p>
        </w:tc>
      </w:tr>
      <w:tr>
        <w:tc>
          <w:tcPr/>
          <w:p>
            <w:pPr>
              <w:pStyle w:val="Compact"/>
              <w:jc w:val="left"/>
            </w:pPr>
            <w:r>
              <w:t xml:space="preserve">Location</w:t>
            </w:r>
          </w:p>
        </w:tc>
        <w:tc>
          <w:tcPr/>
          <w:p>
            <w:pPr>
              <w:pStyle w:val="Compact"/>
              <w:jc w:val="left"/>
            </w:pPr>
            <w:r>
              <w:t xml:space="preserve">Australia Melbourne</w:t>
            </w:r>
          </w:p>
        </w:tc>
      </w:tr>
      <w:tr>
        <w:tc>
          <w:tcPr/>
          <w:p>
            <w:pPr>
              <w:pStyle w:val="Compact"/>
              <w:jc w:val="left"/>
            </w:pPr>
            <w:r>
              <w:t xml:space="preserve">Years of Experience</w:t>
            </w:r>
          </w:p>
        </w:tc>
        <w:tc>
          <w:tcPr/>
          <w:p>
            <w:pPr>
              <w:pStyle w:val="Compact"/>
              <w:jc w:val="left"/>
            </w:pPr>
            <w:r>
              <w:t xml:space="preserve">[Number of Years]</w:t>
            </w:r>
          </w:p>
        </w:tc>
      </w:tr>
      <w:tr>
        <w:tc>
          <w:tcPr/>
          <w:p>
            <w:pPr>
              <w:pStyle w:val="Compact"/>
              <w:jc w:val="left"/>
            </w:pPr>
            <w:r>
              <w:t xml:space="preserve">Qualifications</w:t>
            </w:r>
          </w:p>
        </w:tc>
        <w:tc>
          <w:tcPr/>
          <w:p>
            <w:pPr>
              <w:pStyle w:val="Compact"/>
              <w:jc w:val="left"/>
            </w:pPr>
            <w:r>
              <w:t xml:space="preserve">[List of Qualifications]</w:t>
            </w:r>
          </w:p>
        </w:tc>
      </w:tr>
    </w:tbl>
    <w:bookmarkEnd w:id="22"/>
    <w:bookmarkStart w:id="23" w:name="scope-of-review"/>
    <w:p>
      <w:pPr>
        <w:pStyle w:val="Heading2"/>
      </w:pPr>
      <w:r>
        <w:t xml:space="preserve">3. Scope of Review</w:t>
      </w:r>
    </w:p>
    <w:p>
      <w:pPr>
        <w:pStyle w:val="FirstParagraph"/>
      </w:pPr>
      <w:r>
        <w:t xml:space="preserve">The scope of this Peer Review Report includes the following areas:</w:t>
      </w:r>
    </w:p>
    <w:p>
      <w:pPr>
        <w:numPr>
          <w:ilvl w:val="0"/>
          <w:numId w:val="1001"/>
        </w:numPr>
        <w:pStyle w:val="Compact"/>
      </w:pPr>
      <w:r>
        <w:t xml:space="preserve">Technical Competence: Assessment of the engineer's knowledge and application of chemical engineering principles.</w:t>
      </w:r>
    </w:p>
    <w:p>
      <w:pPr>
        <w:numPr>
          <w:ilvl w:val="0"/>
          <w:numId w:val="1001"/>
        </w:numPr>
        <w:pStyle w:val="Compact"/>
      </w:pPr>
      <w:r>
        <w:t xml:space="preserve">Project Management: Evaluation of the engineer's ability to manage projects effectively, including planning, execution, and delivery.</w:t>
      </w:r>
    </w:p>
    <w:p>
      <w:pPr>
        <w:numPr>
          <w:ilvl w:val="0"/>
          <w:numId w:val="1001"/>
        </w:numPr>
        <w:pStyle w:val="Compact"/>
      </w:pPr>
      <w:r>
        <w:t xml:space="preserve">Safety and Compliance: Review of the engineer's adherence to safety standards and regulatory requirements in Australia Melbourne.</w:t>
      </w:r>
    </w:p>
    <w:p>
      <w:pPr>
        <w:numPr>
          <w:ilvl w:val="0"/>
          <w:numId w:val="1001"/>
        </w:numPr>
        <w:pStyle w:val="Compact"/>
      </w:pPr>
      <w:r>
        <w:t xml:space="preserve">Professional Ethics: Examination of the engineer's ethical conduct and professional behavior.</w:t>
      </w:r>
    </w:p>
    <w:p>
      <w:pPr>
        <w:numPr>
          <w:ilvl w:val="0"/>
          <w:numId w:val="1001"/>
        </w:numPr>
        <w:pStyle w:val="Compact"/>
      </w:pPr>
      <w:r>
        <w:t xml:space="preserve">Continuous Improvement: Assessment of the engineer's commitment to professional development and staying updated with industry trends.</w:t>
      </w:r>
    </w:p>
    <w:bookmarkEnd w:id="23"/>
    <w:bookmarkStart w:id="24" w:name="technical-competence"/>
    <w:p>
      <w:pPr>
        <w:pStyle w:val="Heading2"/>
      </w:pPr>
      <w:r>
        <w:t xml:space="preserve">4. Technical Competence</w:t>
      </w:r>
    </w:p>
    <w:p>
      <w:pPr>
        <w:pStyle w:val="FirstParagraph"/>
      </w:pPr>
      <w:r>
        <w:t xml:space="preserve">The Chemical Engineer demonstrated a strong understanding of chemical engineering principles and their practical application. The engineer's work on [specific project or task] showcased their ability to design and optimize chemical processes, ensuring efficiency and sustainability. The engineer's proficiency in using advanced simulation software and analytical tools was evident, contributing to the successful completion of complex projects. Additionally, the engineer's knowledge of material properties, thermodynamics, and reaction kinetics was applied effectively to solve technical challenges.</w:t>
      </w:r>
    </w:p>
    <w:bookmarkEnd w:id="24"/>
    <w:bookmarkStart w:id="25" w:name="project-management"/>
    <w:p>
      <w:pPr>
        <w:pStyle w:val="Heading2"/>
      </w:pPr>
      <w:r>
        <w:t xml:space="preserve">5. Project Management</w:t>
      </w:r>
    </w:p>
    <w:p>
      <w:pPr>
        <w:pStyle w:val="FirstParagraph"/>
      </w:pPr>
      <w:r>
        <w:t xml:space="preserve">The engineer exhibited excellent project management skills, effectively coordinating with cross-functional teams to deliver projects on time and within budget. The engineer's ability to identify potential risks and implement mitigation strategies was particularly noteworthy. Clear communication with stakeholders, including clients, contractors, and regulatory bodies, ensured that project objectives were met. The engineer's leadership in managing resources and maintaining project timelines reflected a high level of professionalism and organizational capability.</w:t>
      </w:r>
    </w:p>
    <w:bookmarkEnd w:id="25"/>
    <w:bookmarkStart w:id="26" w:name="safety-and-compliance"/>
    <w:p>
      <w:pPr>
        <w:pStyle w:val="Heading2"/>
      </w:pPr>
      <w:r>
        <w:t xml:space="preserve">6. Safety and Compliance</w:t>
      </w:r>
    </w:p>
    <w:p>
      <w:pPr>
        <w:pStyle w:val="FirstParagraph"/>
      </w:pPr>
      <w:r>
        <w:t xml:space="preserve">Safety is a critical aspect of chemical engineering, especially in Australia Melbourne, where strict regulations govern industrial operations. The engineer consistently prioritized safety in all projects, ensuring compliance with local and national standards. The engineer's proactive approach to hazard identification and risk assessment contributed to a safe working environment. Regular safety audits and training sessions conducted by the engineer further reinforced a culture of safety within the organization. The engineer's adherence to environmental regulations and commitment to sustainable practices were also commendable.</w:t>
      </w:r>
    </w:p>
    <w:bookmarkEnd w:id="26"/>
    <w:bookmarkStart w:id="27" w:name="professional-ethics"/>
    <w:p>
      <w:pPr>
        <w:pStyle w:val="Heading2"/>
      </w:pPr>
      <w:r>
        <w:t xml:space="preserve">7. Professional Ethics</w:t>
      </w:r>
    </w:p>
    <w:p>
      <w:pPr>
        <w:pStyle w:val="FirstParagraph"/>
      </w:pPr>
      <w:r>
        <w:t xml:space="preserve">The engineer maintained the highest standards of professional ethics throughout their practice. Integrity, honesty, and transparency were evident in all professional interactions. The engineer's commitment to confidentiality and respect for intellectual property rights was upheld. Additionally, the engineer's willingness to provide constructive feedback and support to colleagues reflected a collaborative and ethical approach to teamwork. The engineer's adherence to the Code of Ethics set by Engineers Australia was consistently demonstrated.</w:t>
      </w:r>
    </w:p>
    <w:bookmarkEnd w:id="27"/>
    <w:bookmarkStart w:id="28" w:name="continuous-improvement"/>
    <w:p>
      <w:pPr>
        <w:pStyle w:val="Heading2"/>
      </w:pPr>
      <w:r>
        <w:t xml:space="preserve">8. Continuous Improvement</w:t>
      </w:r>
    </w:p>
    <w:p>
      <w:pPr>
        <w:pStyle w:val="FirstParagraph"/>
      </w:pPr>
      <w:r>
        <w:t xml:space="preserve">The engineer showed a strong commitment to continuous professional development. Regular participation in industry conferences, workshops, and training programs ensured that the engineer stayed updated with the latest advancements in chemical engineering. The engineer's pursuit of additional certifications and qualifications further enhanced their expertise. The engineer's openness to feedback and willingness to adapt to new technologies and methodologies demonstrated a proactive approach to personal and professional growth.</w:t>
      </w:r>
    </w:p>
    <w:bookmarkEnd w:id="28"/>
    <w:bookmarkStart w:id="29" w:name="recommendations"/>
    <w:p>
      <w:pPr>
        <w:pStyle w:val="Heading2"/>
      </w:pPr>
      <w:r>
        <w:t xml:space="preserve">9.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engage in professional development activities to stay abreast of emerging trends and technologies in chemical engineering.</w:t>
      </w:r>
    </w:p>
    <w:p>
      <w:pPr>
        <w:numPr>
          <w:ilvl w:val="0"/>
          <w:numId w:val="1002"/>
        </w:numPr>
        <w:pStyle w:val="Compact"/>
      </w:pPr>
      <w:r>
        <w:t xml:space="preserve">Enhance leadership skills through targeted training programs to further improve project management capabilities.</w:t>
      </w:r>
    </w:p>
    <w:p>
      <w:pPr>
        <w:numPr>
          <w:ilvl w:val="0"/>
          <w:numId w:val="1002"/>
        </w:numPr>
        <w:pStyle w:val="Compact"/>
      </w:pPr>
      <w:r>
        <w:t xml:space="preserve">Maintain a strong focus on safety and compliance, ensuring that all projects meet or exceed regulatory standards in Australia Melbourne.</w:t>
      </w:r>
    </w:p>
    <w:p>
      <w:pPr>
        <w:numPr>
          <w:ilvl w:val="0"/>
          <w:numId w:val="1002"/>
        </w:numPr>
        <w:pStyle w:val="Compact"/>
      </w:pPr>
      <w:r>
        <w:t xml:space="preserve">Foster a culture of innovation and continuous improvement within the team by encouraging creative problem-solving and knowledge sharing.</w:t>
      </w:r>
    </w:p>
    <w:bookmarkEnd w:id="29"/>
    <w:bookmarkStart w:id="30" w:name="conclusion"/>
    <w:p>
      <w:pPr>
        <w:pStyle w:val="Heading2"/>
      </w:pPr>
      <w:r>
        <w:t xml:space="preserve">10. Conclusion</w:t>
      </w:r>
    </w:p>
    <w:p>
      <w:pPr>
        <w:pStyle w:val="FirstParagraph"/>
      </w:pPr>
      <w:r>
        <w:t xml:space="preserve">In conclusion, the Chemical Engineer under review has demonstrated exceptional technical competence, project management skills, and ethical conduct. Their contributions to the field of chemical engineering in Australia Melbourne have been significant, and their commitment to safety, compliance, and continuous improvement is commendable. This Peer Review Report confirms that the engineer meets the high standards expected of a professional in this field and is well-equipped to continue making valuable contributions to the industry.</w:t>
      </w:r>
    </w:p>
    <w:bookmarkEnd w:id="30"/>
    <w:p>
      <w:pPr>
        <w:pStyle w:val="BodyText"/>
      </w:pPr>
      <w:r>
        <w:rPr>
          <w:bCs/>
          <w:b/>
        </w:rPr>
        <w:t xml:space="preserve">Reviewed by:</w:t>
      </w:r>
    </w:p>
    <w:p>
      <w:pPr>
        <w:pStyle w:val="BodyText"/>
      </w:pPr>
      <w:r>
        <w:t xml:space="preserve">[Reviewer's Name]</w:t>
      </w:r>
    </w:p>
    <w:p>
      <w:pPr>
        <w:pStyle w:val="BodyText"/>
      </w:pPr>
      <w:r>
        <w:t xml:space="preserve">[Reviewer's Position]</w:t>
      </w:r>
    </w:p>
    <w:p>
      <w:pPr>
        <w:pStyle w:val="BodyText"/>
      </w:pPr>
      <w:r>
        <w:t xml:space="preserve">[Reviewer's Contact Information]</w:t>
      </w:r>
    </w:p>
    <w:p>
      <w:pPr>
        <w:pStyle w:val="BodyText"/>
      </w:pPr>
      <w:r>
        <w:rPr>
          <w:bCs/>
          <w:b/>
        </w:rPr>
        <w:t xml:space="preserve">Date:</w:t>
      </w:r>
      <w:r>
        <w:t xml:space="preserve"> </w:t>
      </w:r>
      <w:r>
        <w:t xml:space="preserve">[Date of Review]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dc:title>
  <dc:creator/>
  <dc:language>en</dc:language>
  <cp:keywords/>
  <dcterms:created xsi:type="dcterms:W3CDTF">2026-10-10T05:10:02Z</dcterms:created>
  <dcterms:modified xsi:type="dcterms:W3CDTF">2026-10-10T05:10:02Z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