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Ankara,</w:t>
      </w:r>
      <w:r>
        <w:t xml:space="preserve"> </w:t>
      </w:r>
      <w:r>
        <w:t xml:space="preserve">Turkey</w:t>
      </w:r>
    </w:p>
    <w:bookmarkStart w:id="20" w:name="peer-review-report"/>
    <w:p>
      <w:pPr>
        <w:pStyle w:val="Heading1"/>
      </w:pPr>
      <w:r>
        <w:t xml:space="preserve">Peer Review Report</w:t>
      </w:r>
    </w:p>
    <w:p>
      <w:pPr>
        <w:pStyle w:val="FirstParagraph"/>
      </w:pPr>
      <w:r>
        <w:t xml:space="preserve">Professional Competency Assessment for Chemical Engineering Role</w:t>
      </w:r>
    </w:p>
    <w:p>
      <w:pPr>
        <w:pStyle w:val="BodyText"/>
      </w:pPr>
      <w:r>
        <w:t xml:space="preserve">Location:</w:t>
      </w:r>
      <w:r>
        <w:t xml:space="preserve"> </w:t>
      </w:r>
      <w:r>
        <w:t xml:space="preserve">Ankara, Turkey</w:t>
      </w:r>
    </w:p>
    <w:p>
      <w:pPr>
        <w:pStyle w:val="BodyText"/>
      </w:pPr>
      <w:r>
        <w:t xml:space="preserve">Date:</w:t>
      </w:r>
      <w:r>
        <w:t xml:space="preserve"> </w:t>
      </w:r>
      <w:r>
        <w:t xml:space="preserve">October 24, 2023</w:t>
      </w:r>
    </w:p>
    <w:p>
      <w:pPr>
        <w:pStyle w:val="BodyText"/>
      </w:pPr>
      <w:r>
        <w:t xml:space="preserve">Report ID:</w:t>
      </w:r>
      <w:r>
        <w:t xml:space="preserve"> </w:t>
      </w:r>
      <w:r>
        <w:t xml:space="preserve">TR-ANK-CE-2023-089</w:t>
      </w:r>
    </w:p>
    <w:p>
      <w:pPr>
        <w:pStyle w:val="BodyText"/>
      </w:pPr>
      <w:r>
        <w:t xml:space="preserve">Confidentiality:</w:t>
      </w:r>
      <w:r>
        <w:t xml:space="preserve"> </w:t>
      </w:r>
      <w:r>
        <w:t xml:space="preserve">Strictly Confidential</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technical proficiency, operational safety compliance, and project management capabilities of the subject</w:t>
      </w:r>
      <w:r>
        <w:t xml:space="preserve"> </w:t>
      </w:r>
      <w:r>
        <w:rPr>
          <w:bCs/>
          <w:b/>
        </w:rPr>
        <w:t xml:space="preserve">Chemical Engineer</w:t>
      </w:r>
      <w:r>
        <w:t xml:space="preserve"> </w:t>
      </w:r>
      <w:r>
        <w:t xml:space="preserve">currently stationed at our industrial facility in</w:t>
      </w:r>
      <w:r>
        <w:t xml:space="preserve"> </w:t>
      </w:r>
      <w:r>
        <w:rPr>
          <w:bCs/>
          <w:b/>
        </w:rPr>
        <w:t xml:space="preserve">Turkey Ankara</w:t>
      </w:r>
      <w:r>
        <w:t xml:space="preserve">. The review aims to align the engineer's performance with the rigorous standards set by the Turkish Ministry of Industry and Technology and international engineering benchmarks.</w:t>
      </w:r>
    </w:p>
    <w:p>
      <w:pPr>
        <w:pStyle w:val="BodyText"/>
      </w:pPr>
      <w:r>
        <w:t xml:space="preserve">The assessment covers a six-month period focusing on process optimization, regulatory adherence within the Ankara industrial zone, and team collaboration. Overall, the</w:t>
      </w:r>
      <w:r>
        <w:t xml:space="preserve"> </w:t>
      </w:r>
      <w:r>
        <w:rPr>
          <w:bCs/>
          <w:b/>
        </w:rPr>
        <w:t xml:space="preserve">Chemical Engineer</w:t>
      </w:r>
      <w:r>
        <w:t xml:space="preserve"> </w:t>
      </w:r>
      <w:r>
        <w:t xml:space="preserve">demonstrates a strong command of thermodynamic principles and fluid dynamics, essential for our operations in this region. However, specific areas regarding local environmental reporting protocols require attention.</w:t>
      </w:r>
    </w:p>
    <w:bookmarkEnd w:id="21"/>
    <w:bookmarkStart w:id="22" w:name="candidate-profile-and-scope"/>
    <w:p>
      <w:pPr>
        <w:pStyle w:val="Heading2"/>
      </w:pPr>
      <w:r>
        <w:t xml:space="preserve">2. Candidate Profile and Scope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Role:</w:t>
            </w:r>
          </w:p>
        </w:tc>
        <w:tc>
          <w:tcPr/>
          <w:p>
            <w:pPr>
              <w:pStyle w:val="Compact"/>
              <w:jc w:val="left"/>
            </w:pPr>
            <w:r>
              <w:t xml:space="preserve">Senior Chemical Engineer</w:t>
            </w:r>
          </w:p>
        </w:tc>
      </w:tr>
      <w:tr>
        <w:tc>
          <w:tcPr/>
          <w:p>
            <w:pPr>
              <w:pStyle w:val="Compact"/>
              <w:jc w:val="left"/>
            </w:pPr>
            <w:r>
              <w:rPr>
                <w:bCs/>
                <w:b/>
              </w:rPr>
              <w:t xml:space="preserve">Department:</w:t>
            </w:r>
          </w:p>
        </w:tc>
        <w:tc>
          <w:tcPr/>
          <w:p>
            <w:pPr>
              <w:pStyle w:val="Compact"/>
              <w:jc w:val="left"/>
            </w:pPr>
            <w:r>
              <w:t xml:space="preserve">Process Engineering &amp; Operations</w:t>
            </w:r>
          </w:p>
        </w:tc>
      </w:tr>
      <w:tr>
        <w:tc>
          <w:tcPr/>
          <w:p>
            <w:pPr>
              <w:pStyle w:val="Compact"/>
              <w:jc w:val="left"/>
            </w:pPr>
            <w:r>
              <w:rPr>
                <w:bCs/>
                <w:b/>
              </w:rPr>
              <w:t xml:space="preserve">Location:</w:t>
            </w:r>
          </w:p>
        </w:tc>
        <w:tc>
          <w:tcPr/>
          <w:p>
            <w:pPr>
              <w:pStyle w:val="Compact"/>
              <w:jc w:val="left"/>
            </w:pPr>
            <w:r>
              <w:t xml:space="preserve">Organized Industrial Zone (OSB), Ankara, Turkey</w:t>
            </w:r>
          </w:p>
        </w:tc>
      </w:tr>
      <w:tr>
        <w:tc>
          <w:tcPr/>
          <w:p>
            <w:pPr>
              <w:pStyle w:val="Compact"/>
              <w:jc w:val="left"/>
            </w:pPr>
            <w:r>
              <w:rPr>
                <w:bCs/>
                <w:b/>
              </w:rPr>
              <w:t xml:space="preserve">Review Period:</w:t>
            </w:r>
          </w:p>
        </w:tc>
        <w:tc>
          <w:tcPr/>
          <w:p>
            <w:pPr>
              <w:pStyle w:val="Compact"/>
              <w:jc w:val="left"/>
            </w:pPr>
            <w:r>
              <w:t xml:space="preserve">April 2023 – September 2023</w:t>
            </w:r>
          </w:p>
        </w:tc>
      </w:tr>
      <w:tr>
        <w:tc>
          <w:tcPr/>
          <w:p>
            <w:pPr>
              <w:pStyle w:val="Compact"/>
              <w:jc w:val="left"/>
            </w:pPr>
            <w:r>
              <w:rPr>
                <w:bCs/>
                <w:b/>
              </w:rPr>
              <w:t xml:space="preserve">Reviewers:</w:t>
            </w:r>
          </w:p>
        </w:tc>
        <w:tc>
          <w:tcPr/>
          <w:p>
            <w:pPr>
              <w:pStyle w:val="Compact"/>
              <w:jc w:val="left"/>
            </w:pPr>
            <w:r>
              <w:t xml:space="preserve">Panel of Senior Engineers and Safety Officers</w:t>
            </w:r>
          </w:p>
        </w:tc>
      </w:tr>
    </w:tbl>
    <w:bookmarkEnd w:id="22"/>
    <w:bookmarkStart w:id="26" w:name="technical-competency-assessment"/>
    <w:p>
      <w:pPr>
        <w:pStyle w:val="Heading2"/>
      </w:pPr>
      <w:r>
        <w:t xml:space="preserve">3. Technical Competency Assessment</w:t>
      </w:r>
    </w:p>
    <w:p>
      <w:pPr>
        <w:pStyle w:val="FirstParagraph"/>
      </w:pPr>
      <w:r>
        <w:t xml:space="preserve">The core of this</w:t>
      </w:r>
      <w:r>
        <w:t xml:space="preserve"> </w:t>
      </w:r>
      <w:r>
        <w:rPr>
          <w:bCs/>
          <w:b/>
        </w:rPr>
        <w:t xml:space="preserve">Peer Review Report</w:t>
      </w:r>
      <w:r>
        <w:t xml:space="preserve"> </w:t>
      </w:r>
      <w:r>
        <w:t xml:space="preserve">evaluates the hard skills required of a</w:t>
      </w:r>
      <w:r>
        <w:t xml:space="preserve"> </w:t>
      </w:r>
      <w:r>
        <w:rPr>
          <w:bCs/>
          <w:b/>
        </w:rPr>
        <w:t xml:space="preserve">Chemical Engineer</w:t>
      </w:r>
      <w:r>
        <w:t xml:space="preserve"> </w:t>
      </w:r>
      <w:r>
        <w:t xml:space="preserve">operating in the complex industrial landscape of</w:t>
      </w:r>
      <w:r>
        <w:t xml:space="preserve"> </w:t>
      </w:r>
      <w:r>
        <w:rPr>
          <w:bCs/>
          <w:b/>
        </w:rPr>
        <w:t xml:space="preserve">Turkey Ankara</w:t>
      </w:r>
      <w:r>
        <w:t xml:space="preserve">.</w:t>
      </w:r>
    </w:p>
    <w:bookmarkStart w:id="23" w:name="process-design-and-optimization"/>
    <w:p>
      <w:pPr>
        <w:pStyle w:val="Heading3"/>
      </w:pPr>
      <w:r>
        <w:t xml:space="preserve">3.1 Process Design and Optimization</w:t>
      </w:r>
    </w:p>
    <w:p>
      <w:pPr>
        <w:pStyle w:val="FirstParagraph"/>
      </w:pPr>
      <w:r>
        <w:t xml:space="preserve">The engineer has shown exceptional ability in utilizing simulation software such as Aspen HYSYS and ChemCAD. During the recent retrofitting of the distillation columns, the</w:t>
      </w:r>
      <w:r>
        <w:t xml:space="preserve"> </w:t>
      </w:r>
      <w:r>
        <w:rPr>
          <w:bCs/>
          <w:b/>
        </w:rPr>
        <w:t xml:space="preserve">Chemical Engineer</w:t>
      </w:r>
      <w:r>
        <w:t xml:space="preserve"> </w:t>
      </w:r>
      <w:r>
        <w:t xml:space="preserve">proposed a heat integration strategy that reduced energy consumption by 12%. This is particularly significant given the fluctuating energy costs in the Turkish market. The ability to adapt global engineering standards to the specific infrastructure constraints found in Ankara was noted as a key strength.</w:t>
      </w:r>
    </w:p>
    <w:bookmarkEnd w:id="23"/>
    <w:bookmarkStart w:id="24" w:name="regulatory-compliance-and-safety"/>
    <w:p>
      <w:pPr>
        <w:pStyle w:val="Heading3"/>
      </w:pPr>
      <w:r>
        <w:t xml:space="preserve">3.2 Regulatory Compliance and Safety</w:t>
      </w:r>
    </w:p>
    <w:p>
      <w:pPr>
        <w:pStyle w:val="FirstParagraph"/>
      </w:pPr>
      <w:r>
        <w:t xml:space="preserve">Operating in</w:t>
      </w:r>
      <w:r>
        <w:t xml:space="preserve"> </w:t>
      </w:r>
      <w:r>
        <w:rPr>
          <w:bCs/>
          <w:b/>
        </w:rPr>
        <w:t xml:space="preserve">Turkey Ankara</w:t>
      </w:r>
      <w:r>
        <w:t xml:space="preserve"> </w:t>
      </w:r>
      <w:r>
        <w:t xml:space="preserve">requires strict adherence to the Occupational Health and Safety Law (Law No. 6331) and environmental regulations enforced by the Ankara Metropolitan Municipality. The</w:t>
      </w:r>
      <w:r>
        <w:t xml:space="preserve"> </w:t>
      </w:r>
      <w:r>
        <w:rPr>
          <w:bCs/>
          <w:b/>
        </w:rPr>
        <w:t xml:space="preserve">Chemical Engineer</w:t>
      </w:r>
      <w:r>
        <w:t xml:space="preserve"> </w:t>
      </w:r>
      <w:r>
        <w:t xml:space="preserve">has maintained a zero-accident record in their unit. They have successfully led the implementation of new Hazard and Operability Studies (HAZOP) tailored to local regulatory requirements. However, the review panel noted that documentation for chemical waste disposal, while compliant, lacks the proactive detail required for upcoming stricter EU-aligned environmental standards that Turkey is gradually adopting.</w:t>
      </w:r>
    </w:p>
    <w:bookmarkEnd w:id="24"/>
    <w:bookmarkStart w:id="25" w:name="quality-control-and-assurance"/>
    <w:p>
      <w:pPr>
        <w:pStyle w:val="Heading3"/>
      </w:pPr>
      <w:r>
        <w:t xml:space="preserve">3.3 Quality Control and Assurance</w:t>
      </w:r>
    </w:p>
    <w:p>
      <w:pPr>
        <w:pStyle w:val="FirstParagraph"/>
      </w:pPr>
      <w:r>
        <w:t xml:space="preserve">The engineer effectively manages the quality parameters of the final product, ensuring they meet both internal specifications and export requirements. Their understanding of statistical process control (SPC) has minimized batch variances. This consistency is vital for maintaining the company's reputation in the competitive Turkish chemical market.</w:t>
      </w:r>
    </w:p>
    <w:bookmarkEnd w:id="25"/>
    <w:bookmarkEnd w:id="26"/>
    <w:bookmarkStart w:id="29" w:name="soft-skills-and-professional-conduct"/>
    <w:p>
      <w:pPr>
        <w:pStyle w:val="Heading2"/>
      </w:pPr>
      <w:r>
        <w:t xml:space="preserve">4. Soft Skills and Professional Conduct</w:t>
      </w:r>
    </w:p>
    <w:p>
      <w:pPr>
        <w:pStyle w:val="FirstParagraph"/>
      </w:pPr>
      <w:r>
        <w:t xml:space="preserve">Beyond technical metrics, this</w:t>
      </w:r>
      <w:r>
        <w:t xml:space="preserve"> </w:t>
      </w:r>
      <w:r>
        <w:rPr>
          <w:bCs/>
          <w:b/>
        </w:rPr>
        <w:t xml:space="preserve">Peer Review Report</w:t>
      </w:r>
      <w:r>
        <w:t xml:space="preserve"> </w:t>
      </w:r>
      <w:r>
        <w:t xml:space="preserve">assesses the interpersonal dynamics of the</w:t>
      </w:r>
      <w:r>
        <w:t xml:space="preserve"> </w:t>
      </w:r>
      <w:r>
        <w:rPr>
          <w:bCs/>
          <w:b/>
        </w:rPr>
        <w:t xml:space="preserve">Chemical Engineer</w:t>
      </w:r>
      <w:r>
        <w:t xml:space="preserve"> </w:t>
      </w:r>
      <w:r>
        <w:t xml:space="preserve">within the Ankara office culture.</w:t>
      </w:r>
    </w:p>
    <w:bookmarkStart w:id="27" w:name="communication-and-language-proficiency"/>
    <w:p>
      <w:pPr>
        <w:pStyle w:val="Heading3"/>
      </w:pPr>
      <w:r>
        <w:t xml:space="preserve">4.1 Communication and Language Proficiency</w:t>
      </w:r>
    </w:p>
    <w:p>
      <w:pPr>
        <w:pStyle w:val="FirstParagraph"/>
      </w:pPr>
      <w:r>
        <w:t xml:space="preserve">As a multinational hub, our Ankara facility requires engineers to communicate effectively in both Turkish and English. The</w:t>
      </w:r>
      <w:r>
        <w:t xml:space="preserve"> </w:t>
      </w:r>
      <w:r>
        <w:rPr>
          <w:bCs/>
          <w:b/>
        </w:rPr>
        <w:t xml:space="preserve">Chemical Engineer</w:t>
      </w:r>
      <w:r>
        <w:t xml:space="preserve"> </w:t>
      </w:r>
      <w:r>
        <w:t xml:space="preserve">demonstrates excellent technical English, facilitating seamless communication with international stakeholders. Their Turkish language skills are sufficient for daily operations and safety briefings with local staff, fostering a cohesive work environment.</w:t>
      </w:r>
    </w:p>
    <w:bookmarkEnd w:id="27"/>
    <w:bookmarkStart w:id="28" w:name="leadership-and-mentorship"/>
    <w:p>
      <w:pPr>
        <w:pStyle w:val="Heading3"/>
      </w:pPr>
      <w:r>
        <w:t xml:space="preserve">4.2 Leadership and Mentorship</w:t>
      </w:r>
    </w:p>
    <w:p>
      <w:pPr>
        <w:pStyle w:val="FirstParagraph"/>
      </w:pPr>
      <w:r>
        <w:t xml:space="preserve">The engineer has taken a proactive role in mentoring junior engineers and recent graduates from local universities such as Middle East Technical University (METU) and Ankara University. This knowledge transfer is crucial for building local capacity. Peers have rated their leadership style as collaborative and solution-oriented.</w:t>
      </w:r>
    </w:p>
    <w:bookmarkEnd w:id="28"/>
    <w:bookmarkEnd w:id="29"/>
    <w:bookmarkStart w:id="30" w:name="performance-scoring"/>
    <w:p>
      <w:pPr>
        <w:pStyle w:val="Heading2"/>
      </w:pPr>
      <w:r>
        <w:t xml:space="preserve">5. Performance Scoring</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Score (1-5)</w:t>
            </w:r>
          </w:p>
        </w:tc>
        <w:tc>
          <w:tcPr/>
          <w:p>
            <w:pPr>
              <w:pStyle w:val="Compact"/>
              <w:jc w:val="left"/>
            </w:pPr>
            <w:r>
              <w:t xml:space="preserve">Rating</w:t>
            </w:r>
          </w:p>
        </w:tc>
      </w:tr>
      <w:tr>
        <w:tc>
          <w:tcPr/>
          <w:p>
            <w:pPr>
              <w:pStyle w:val="Compact"/>
              <w:jc w:val="left"/>
            </w:pPr>
            <w:r>
              <w:t xml:space="preserve">Technical Knowledge (Chemical Engineering)</w:t>
            </w:r>
          </w:p>
        </w:tc>
        <w:tc>
          <w:tcPr/>
          <w:p>
            <w:pPr>
              <w:pStyle w:val="Compact"/>
              <w:jc w:val="left"/>
            </w:pPr>
            <w:r>
              <w:t xml:space="preserve">5</w:t>
            </w:r>
          </w:p>
        </w:tc>
        <w:tc>
          <w:tcPr/>
          <w:p>
            <w:pPr>
              <w:pStyle w:val="Compact"/>
              <w:jc w:val="left"/>
            </w:pPr>
            <w:r>
              <w:t xml:space="preserve">Excellent</w:t>
            </w:r>
          </w:p>
        </w:tc>
      </w:tr>
      <w:tr>
        <w:tc>
          <w:tcPr/>
          <w:p>
            <w:pPr>
              <w:pStyle w:val="Compact"/>
              <w:jc w:val="left"/>
            </w:pPr>
            <w:r>
              <w:t xml:space="preserve">Process Optimization &amp; Efficiency</w:t>
            </w:r>
          </w:p>
        </w:tc>
        <w:tc>
          <w:tcPr/>
          <w:p>
            <w:pPr>
              <w:pStyle w:val="Compact"/>
              <w:jc w:val="left"/>
            </w:pPr>
            <w:r>
              <w:t xml:space="preserve">5</w:t>
            </w:r>
          </w:p>
        </w:tc>
        <w:tc>
          <w:tcPr/>
          <w:p>
            <w:pPr>
              <w:pStyle w:val="Compact"/>
              <w:jc w:val="left"/>
            </w:pPr>
            <w:r>
              <w:t xml:space="preserve">Excellent</w:t>
            </w:r>
          </w:p>
        </w:tc>
      </w:tr>
      <w:tr>
        <w:tc>
          <w:tcPr/>
          <w:p>
            <w:pPr>
              <w:pStyle w:val="Compact"/>
              <w:jc w:val="left"/>
            </w:pPr>
            <w:r>
              <w:t xml:space="preserve">Safety &amp; Regulatory Compliance (Turkey)</w:t>
            </w:r>
          </w:p>
        </w:tc>
        <w:tc>
          <w:tcPr/>
          <w:p>
            <w:pPr>
              <w:pStyle w:val="Compact"/>
              <w:jc w:val="left"/>
            </w:pPr>
            <w:r>
              <w:t xml:space="preserve">4</w:t>
            </w:r>
          </w:p>
        </w:tc>
        <w:tc>
          <w:tcPr/>
          <w:p>
            <w:pPr>
              <w:pStyle w:val="Compact"/>
              <w:jc w:val="left"/>
            </w:pPr>
            <w:r>
              <w:t xml:space="preserve">Very Good</w:t>
            </w:r>
          </w:p>
        </w:tc>
      </w:tr>
      <w:tr>
        <w:tc>
          <w:tcPr/>
          <w:p>
            <w:pPr>
              <w:pStyle w:val="Compact"/>
              <w:jc w:val="left"/>
            </w:pPr>
            <w:r>
              <w:t xml:space="preserve">Project Management</w:t>
            </w:r>
          </w:p>
        </w:tc>
        <w:tc>
          <w:tcPr/>
          <w:p>
            <w:pPr>
              <w:pStyle w:val="Compact"/>
              <w:jc w:val="left"/>
            </w:pPr>
            <w:r>
              <w:t xml:space="preserve">4</w:t>
            </w:r>
          </w:p>
        </w:tc>
        <w:tc>
          <w:tcPr/>
          <w:p>
            <w:pPr>
              <w:pStyle w:val="Compact"/>
              <w:jc w:val="left"/>
            </w:pPr>
            <w:r>
              <w:t xml:space="preserve">Very Good</w:t>
            </w:r>
          </w:p>
        </w:tc>
      </w:tr>
      <w:tr>
        <w:tc>
          <w:tcPr/>
          <w:p>
            <w:pPr>
              <w:pStyle w:val="Compact"/>
              <w:jc w:val="left"/>
            </w:pPr>
            <w:r>
              <w:t xml:space="preserve">Team Collaboration</w:t>
            </w:r>
          </w:p>
        </w:tc>
        <w:tc>
          <w:tcPr/>
          <w:p>
            <w:pPr>
              <w:pStyle w:val="Compact"/>
              <w:jc w:val="left"/>
            </w:pPr>
            <w:r>
              <w:t xml:space="preserve">5</w:t>
            </w:r>
          </w:p>
        </w:tc>
        <w:tc>
          <w:tcPr/>
          <w:p>
            <w:pPr>
              <w:pStyle w:val="Compact"/>
              <w:jc w:val="left"/>
            </w:pPr>
            <w:r>
              <w:t xml:space="preserve">Excellent</w:t>
            </w:r>
          </w:p>
        </w:tc>
      </w:tr>
    </w:tbl>
    <w:bookmarkEnd w:id="30"/>
    <w:bookmarkStart w:id="31" w:name="recommendations-and-action-plan"/>
    <w:p>
      <w:pPr>
        <w:pStyle w:val="Heading2"/>
      </w:pPr>
      <w:r>
        <w:t xml:space="preserve">6. Recommendations and Action Plan</w:t>
      </w:r>
    </w:p>
    <w:p>
      <w:pPr>
        <w:pStyle w:val="FirstParagraph"/>
      </w:pPr>
      <w:r>
        <w:t xml:space="preserve">Based on the findings of this</w:t>
      </w:r>
      <w:r>
        <w:t xml:space="preserve"> </w:t>
      </w:r>
      <w:r>
        <w:rPr>
          <w:bCs/>
          <w:b/>
        </w:rPr>
        <w:t xml:space="preserve">Peer Review Report</w:t>
      </w:r>
      <w:r>
        <w:t xml:space="preserve">, the following actions are recommended for the</w:t>
      </w:r>
      <w:r>
        <w:t xml:space="preserve"> </w:t>
      </w:r>
      <w:r>
        <w:rPr>
          <w:bCs/>
          <w:b/>
        </w:rPr>
        <w:t xml:space="preserve">Chemical Engineer</w:t>
      </w:r>
      <w:r>
        <w:t xml:space="preserve"> </w:t>
      </w:r>
      <w:r>
        <w:t xml:space="preserve">to further enhance their performance in</w:t>
      </w:r>
      <w:r>
        <w:t xml:space="preserve"> </w:t>
      </w:r>
      <w:r>
        <w:rPr>
          <w:bCs/>
          <w:b/>
        </w:rPr>
        <w:t xml:space="preserve">Turkey Ankara</w:t>
      </w:r>
      <w:r>
        <w:t xml:space="preserve">:</w:t>
      </w:r>
    </w:p>
    <w:p>
      <w:pPr>
        <w:numPr>
          <w:ilvl w:val="0"/>
          <w:numId w:val="1001"/>
        </w:numPr>
        <w:pStyle w:val="Compact"/>
      </w:pPr>
      <w:r>
        <w:rPr>
          <w:bCs/>
          <w:b/>
        </w:rPr>
        <w:t xml:space="preserve">Environmental Reporting:</w:t>
      </w:r>
      <w:r>
        <w:t xml:space="preserve"> </w:t>
      </w:r>
      <w:r>
        <w:t xml:space="preserve">Enroll in advanced training regarding the latest Turkish environmental legislation and EU alignment strategies to improve waste management documentation.</w:t>
      </w:r>
    </w:p>
    <w:p>
      <w:pPr>
        <w:numPr>
          <w:ilvl w:val="0"/>
          <w:numId w:val="1001"/>
        </w:numPr>
        <w:pStyle w:val="Compact"/>
      </w:pPr>
      <w:r>
        <w:rPr>
          <w:bCs/>
          <w:b/>
        </w:rPr>
        <w:t xml:space="preserve">Local Networking:</w:t>
      </w:r>
      <w:r>
        <w:t xml:space="preserve"> </w:t>
      </w:r>
      <w:r>
        <w:t xml:space="preserve">Increase participation in local engineering chambers (TMMOB) in Ankara to stay updated on regional industry trends and networking opportunities.</w:t>
      </w:r>
    </w:p>
    <w:p>
      <w:pPr>
        <w:numPr>
          <w:ilvl w:val="0"/>
          <w:numId w:val="1001"/>
        </w:numPr>
        <w:pStyle w:val="Compact"/>
      </w:pPr>
      <w:r>
        <w:rPr>
          <w:bCs/>
          <w:b/>
        </w:rPr>
        <w:t xml:space="preserve">Advanced Automation:</w:t>
      </w:r>
      <w:r>
        <w:t xml:space="preserve"> </w:t>
      </w:r>
      <w:r>
        <w:t xml:space="preserve">Lead a pilot project integrating Industry 4.0 technologies into the current plant operations to further drive efficiency.</w:t>
      </w:r>
    </w:p>
    <w:bookmarkEnd w:id="31"/>
    <w:bookmarkStart w:id="32"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confirms that the subject</w:t>
      </w:r>
      <w:r>
        <w:t xml:space="preserve"> </w:t>
      </w:r>
      <w:r>
        <w:rPr>
          <w:bCs/>
          <w:b/>
        </w:rPr>
        <w:t xml:space="preserve">Chemical Engineer</w:t>
      </w:r>
      <w:r>
        <w:t xml:space="preserve"> </w:t>
      </w:r>
      <w:r>
        <w:t xml:space="preserve">is a high-performing asset to our organization in</w:t>
      </w:r>
      <w:r>
        <w:t xml:space="preserve"> </w:t>
      </w:r>
      <w:r>
        <w:rPr>
          <w:bCs/>
          <w:b/>
        </w:rPr>
        <w:t xml:space="preserve">Turkey Ankara</w:t>
      </w:r>
      <w:r>
        <w:t xml:space="preserve">. Their technical expertise, combined with a strong commitment to safety and team development, makes them well-suited for their current role and future leadership opportunities. With minor improvements in regulatory documentation, they will be fully aligned with the highest standards of the industry.</w:t>
      </w:r>
    </w:p>
    <w:bookmarkEnd w:id="32"/>
    <w:p>
      <w:pPr>
        <w:pStyle w:val="BodyText"/>
      </w:pPr>
      <w:r>
        <w:rPr>
          <w:bCs/>
          <w:b/>
        </w:rPr>
        <w:t xml:space="preserve">Lead Reviewer Signature:</w:t>
      </w:r>
    </w:p>
    <w:p>
      <w:pPr>
        <w:pStyle w:val="BodyText"/>
      </w:pPr>
      <w:r>
        <w:t xml:space="preserve">Dr. Ahmet Yilmaz</w:t>
      </w:r>
    </w:p>
    <w:p>
      <w:pPr>
        <w:pStyle w:val="BodyText"/>
      </w:pPr>
      <w:r>
        <w:t xml:space="preserve">Head of Engineering, Ankara Branch</w:t>
      </w:r>
    </w:p>
    <w:p>
      <w:pPr>
        <w:pStyle w:val="BodyText"/>
      </w:pPr>
      <w:r>
        <w:rPr>
          <w:bCs/>
          <w:b/>
        </w:rPr>
        <w:t xml:space="preserve">HR Director Signature:</w:t>
      </w:r>
    </w:p>
    <w:p>
      <w:pPr>
        <w:pStyle w:val="BodyText"/>
      </w:pPr>
      <w:r>
        <w:t xml:space="preserve">Elif Kaya</w:t>
      </w:r>
    </w:p>
    <w:p>
      <w:pPr>
        <w:pStyle w:val="BodyText"/>
      </w:pPr>
      <w:r>
        <w:t xml:space="preserve">Human Resources Director</w:t>
      </w:r>
    </w:p>
    <w:p>
      <w:pPr>
        <w:pStyle w:val="BodyText"/>
      </w:pPr>
      <w:r>
        <w:t xml:space="preserve">© 2023 Industrial Operations Group. All rights reserved. This document is intended solely for the use of the individual or entity to whom it is addressed.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Ankara, Turkey</dc:title>
  <dc:creator/>
  <dc:language>en</dc:language>
  <cp:keywords/>
  <dcterms:created xsi:type="dcterms:W3CDTF">2026-10-10T06:21:02Z</dcterms:created>
  <dcterms:modified xsi:type="dcterms:W3CDTF">2026-10-10T06:21:02Z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