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Chemical</w:t>
      </w:r>
      <w:r>
        <w:t xml:space="preserve"> </w:t>
      </w:r>
      <w:r>
        <w:t xml:space="preserve">Engineer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2" w:name="peer-review-report"/>
    <w:p>
      <w:pPr>
        <w:pStyle w:val="Heading1"/>
      </w:pPr>
      <w:r>
        <w:t xml:space="preserve">Peer Review Report</w:t>
      </w:r>
    </w:p>
    <w:bookmarkStart w:id="21" w:name="chemical-engineer"/>
    <w:p>
      <w:pPr>
        <w:pStyle w:val="Heading2"/>
      </w:pPr>
      <w:r>
        <w:t xml:space="preserve">Chemical Engineer</w:t>
      </w:r>
    </w:p>
    <w:bookmarkStart w:id="20" w:name="united-arab-emirates-dubai"/>
    <w:p>
      <w:pPr>
        <w:pStyle w:val="Heading3"/>
      </w:pPr>
      <w:r>
        <w:t xml:space="preserve">United Arab Emirates Dubai</w:t>
      </w:r>
    </w:p>
    <w:bookmarkEnd w:id="20"/>
    <w:bookmarkEnd w:id="21"/>
    <w:bookmarkEnd w:id="22"/>
    <w:bookmarkStart w:id="23" w:name="introduction"/>
    <w:p>
      <w:pPr>
        <w:pStyle w:val="Heading2"/>
      </w:pPr>
      <w:r>
        <w:t xml:space="preserve">1. Introduction</w:t>
      </w:r>
    </w:p>
    <w:p>
      <w:pPr>
        <w:pStyle w:val="FirstParagraph"/>
      </w:pPr>
      <w:r>
        <w:t xml:space="preserve">This Peer Review Report has been prepared in accordance with the professional standards and regulatory requirements applicable to Chemical Engineers practicing in the United Arab Emirates, specifically within the emirate of Dubai. The purpose of this document is to evaluate the technical competence, professional conduct, and adherence to industry best practices of the subject Chemical Engineer. This review is conducted to ensure alignment with the expectations set forth by relevant authorities, including the Dubai Municipality, the Department of Economic Development (DED), and international engineering bodies recognized within the UAE.</w:t>
      </w:r>
    </w:p>
    <w:p>
      <w:pPr>
        <w:pStyle w:val="BodyText"/>
      </w:pPr>
      <w:r>
        <w:t xml:space="preserve">The chemical engineering sector in Dubai plays a pivotal role in supporting the region’s energy, petrochemical, water treatment, and manufacturing industries. As such, maintaining high standards of engineering practice is essential for safety, sustainability, and economic growth. This report provides a comprehensive assessment of the engineer’s qualifications, project experience, technical decision-making, and compliance with local regulations and ethical guidelines.</w:t>
      </w:r>
    </w:p>
    <w:bookmarkEnd w:id="23"/>
    <w:bookmarkStart w:id="24" w:name="engineer-profile"/>
    <w:p>
      <w:pPr>
        <w:pStyle w:val="Heading2"/>
      </w:pPr>
      <w:r>
        <w:t xml:space="preserve">2. Engineer Profile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[Engineer’s Full Name]</w:t>
            </w:r>
          </w:p>
        </w:tc>
      </w:tr>
      <w:tr>
        <w:tc>
          <w:tcPr/>
          <w:p>
            <w:pPr>
              <w:pStyle w:val="Compact"/>
              <w:jc w:val="left"/>
            </w:pPr>
            <w:r>
              <w:t xml:space="preserve">License Number</w:t>
            </w:r>
          </w:p>
        </w:tc>
        <w:tc>
          <w:tcPr/>
          <w:p>
            <w:pPr>
              <w:pStyle w:val="Compact"/>
              <w:jc w:val="left"/>
            </w:pPr>
            <w:r>
              <w:t xml:space="preserve">[Professional License Number]</w:t>
            </w:r>
          </w:p>
        </w:tc>
      </w:tr>
      <w:tr>
        <w:tc>
          <w:tcPr/>
          <w:p>
            <w:pPr>
              <w:pStyle w:val="Compact"/>
              <w:jc w:val="left"/>
            </w:pPr>
            <w:r>
              <w:t xml:space="preserve">Employer</w:t>
            </w:r>
          </w:p>
        </w:tc>
        <w:tc>
          <w:tcPr/>
          <w:p>
            <w:pPr>
              <w:pStyle w:val="Compact"/>
              <w:jc w:val="left"/>
            </w:pPr>
            <w:r>
              <w:t xml:space="preserve">[Company Name]</w:t>
            </w:r>
          </w:p>
        </w:tc>
      </w:tr>
      <w:tr>
        <w:tc>
          <w:tcPr/>
          <w:p>
            <w:pPr>
              <w:pStyle w:val="Compact"/>
              <w:jc w:val="left"/>
            </w:pPr>
            <w:r>
              <w:t xml:space="preserve">Location</w:t>
            </w:r>
          </w:p>
        </w:tc>
        <w:tc>
          <w:tcPr/>
          <w:p>
            <w:pPr>
              <w:pStyle w:val="Compact"/>
              <w:jc w:val="left"/>
            </w:pPr>
            <w:r>
              <w:t xml:space="preserve">Dubai, United Arab Emirates</w:t>
            </w:r>
          </w:p>
        </w:tc>
      </w:tr>
      <w:tr>
        <w:tc>
          <w:tcPr/>
          <w:p>
            <w:pPr>
              <w:pStyle w:val="Compact"/>
              <w:jc w:val="left"/>
            </w:pPr>
            <w:r>
              <w:t xml:space="preserve">Specialization</w:t>
            </w:r>
          </w:p>
        </w:tc>
        <w:tc>
          <w:tcPr/>
          <w:p>
            <w:pPr>
              <w:pStyle w:val="Compact"/>
              <w:jc w:val="left"/>
            </w:pPr>
            <w:r>
              <w:t xml:space="preserve">[e.g., Process Engineering, Petrochemicals, Water Treatment]</w:t>
            </w:r>
          </w:p>
        </w:tc>
      </w:tr>
      <w:tr>
        <w:tc>
          <w:tcPr/>
          <w:p>
            <w:pPr>
              <w:pStyle w:val="Compact"/>
              <w:jc w:val="left"/>
            </w:pPr>
            <w:r>
              <w:t xml:space="preserve">Years of Experience</w:t>
            </w:r>
          </w:p>
        </w:tc>
        <w:tc>
          <w:tcPr/>
          <w:p>
            <w:pPr>
              <w:pStyle w:val="Compact"/>
              <w:jc w:val="left"/>
            </w:pPr>
            <w:r>
              <w:t xml:space="preserve">[Number] years</w:t>
            </w:r>
          </w:p>
        </w:tc>
      </w:tr>
    </w:tbl>
    <w:bookmarkEnd w:id="24"/>
    <w:bookmarkStart w:id="25" w:name="scope-of-review"/>
    <w:p>
      <w:pPr>
        <w:pStyle w:val="Heading2"/>
      </w:pPr>
      <w:r>
        <w:t xml:space="preserve">3. Scope of Review</w:t>
      </w:r>
    </w:p>
    <w:p>
      <w:pPr>
        <w:pStyle w:val="FirstParagraph"/>
      </w:pPr>
      <w:r>
        <w:t xml:space="preserve">The scope of this Peer Review Report encompasses the following key areas:</w:t>
      </w:r>
    </w:p>
    <w:p>
      <w:pPr>
        <w:numPr>
          <w:ilvl w:val="0"/>
          <w:numId w:val="1001"/>
        </w:numPr>
        <w:pStyle w:val="Compact"/>
      </w:pPr>
      <w:r>
        <w:t xml:space="preserve">Verification of academic qualifications and professional certifications.</w:t>
      </w:r>
    </w:p>
    <w:p>
      <w:pPr>
        <w:numPr>
          <w:ilvl w:val="0"/>
          <w:numId w:val="1001"/>
        </w:numPr>
        <w:pStyle w:val="Compact"/>
      </w:pPr>
      <w:r>
        <w:t xml:space="preserve">Assessment of technical competence in chemical engineering practices.</w:t>
      </w:r>
    </w:p>
    <w:p>
      <w:pPr>
        <w:numPr>
          <w:ilvl w:val="0"/>
          <w:numId w:val="1001"/>
        </w:numPr>
        <w:pStyle w:val="Compact"/>
      </w:pPr>
      <w:r>
        <w:t xml:space="preserve">Evaluation of project involvement and contributions in Dubai-based initiatives.</w:t>
      </w:r>
    </w:p>
    <w:p>
      <w:pPr>
        <w:numPr>
          <w:ilvl w:val="0"/>
          <w:numId w:val="1001"/>
        </w:numPr>
        <w:pStyle w:val="Compact"/>
      </w:pPr>
      <w:r>
        <w:t xml:space="preserve">Review of compliance with UAE and Dubai-specific regulations and standards.</w:t>
      </w:r>
    </w:p>
    <w:p>
      <w:pPr>
        <w:numPr>
          <w:ilvl w:val="0"/>
          <w:numId w:val="1001"/>
        </w:numPr>
        <w:pStyle w:val="Compact"/>
      </w:pPr>
      <w:r>
        <w:t xml:space="preserve">Analysis of health, safety, and environmental (HSE) considerations in engineering work.</w:t>
      </w:r>
    </w:p>
    <w:p>
      <w:pPr>
        <w:numPr>
          <w:ilvl w:val="0"/>
          <w:numId w:val="1001"/>
        </w:numPr>
        <w:pStyle w:val="Compact"/>
      </w:pPr>
      <w:r>
        <w:t xml:space="preserve">Assessment of professional ethics and conduct.</w:t>
      </w:r>
    </w:p>
    <w:bookmarkEnd w:id="25"/>
    <w:bookmarkStart w:id="26" w:name="technical-competence"/>
    <w:p>
      <w:pPr>
        <w:pStyle w:val="Heading2"/>
      </w:pPr>
      <w:r>
        <w:t xml:space="preserve">4. Technical Competence</w:t>
      </w:r>
    </w:p>
    <w:p>
      <w:pPr>
        <w:pStyle w:val="FirstParagraph"/>
      </w:pPr>
      <w:r>
        <w:t xml:space="preserve">The Chemical Engineer under review has demonstrated a strong foundation in core chemical engineering principles, including thermodynamics, fluid mechanics, reaction engineering, and process control. Their ability to apply theoretical knowledge to practical challenges in Dubai’s industrial environment has been consistently effective.</w:t>
      </w:r>
    </w:p>
    <w:p>
      <w:pPr>
        <w:pStyle w:val="BodyText"/>
      </w:pPr>
      <w:r>
        <w:t xml:space="preserve">Notably, the engineer has contributed to projects involving process optimization, plant design, and operational efficiency improvements. Their work aligns with the high standards expected in Dubai’s competitive industrial landscape, where precision and innovation are critical. The engineer’s proficiency in using industry-standard software tools (e.g., Aspen HYSYS, AutoCAD, MATLAB) further supports their technical credibility.</w:t>
      </w:r>
    </w:p>
    <w:bookmarkEnd w:id="26"/>
    <w:bookmarkStart w:id="27" w:name="project-experience-in-dubai"/>
    <w:p>
      <w:pPr>
        <w:pStyle w:val="Heading2"/>
      </w:pPr>
      <w:r>
        <w:t xml:space="preserve">5. Project Experience in Dubai</w:t>
      </w:r>
    </w:p>
    <w:p>
      <w:pPr>
        <w:pStyle w:val="FirstParagraph"/>
      </w:pPr>
      <w:r>
        <w:t xml:space="preserve">The engineer has been actively involved in several significant projects within Dubai, including:</w:t>
      </w:r>
    </w:p>
    <w:p>
      <w:pPr>
        <w:numPr>
          <w:ilvl w:val="0"/>
          <w:numId w:val="1002"/>
        </w:numPr>
        <w:pStyle w:val="Compact"/>
      </w:pPr>
      <w:r>
        <w:t xml:space="preserve">Design and commissioning of a water desalination plant supporting municipal needs.</w:t>
      </w:r>
    </w:p>
    <w:p>
      <w:pPr>
        <w:numPr>
          <w:ilvl w:val="0"/>
          <w:numId w:val="1002"/>
        </w:numPr>
        <w:pStyle w:val="Compact"/>
      </w:pPr>
      <w:r>
        <w:t xml:space="preserve">Process safety audits for petrochemical facilities in Jebel Ali Free Zone.</w:t>
      </w:r>
    </w:p>
    <w:p>
      <w:pPr>
        <w:numPr>
          <w:ilvl w:val="0"/>
          <w:numId w:val="1002"/>
        </w:numPr>
        <w:pStyle w:val="Compact"/>
      </w:pPr>
      <w:r>
        <w:t xml:space="preserve">Implementation of energy-efficient solutions in manufacturing units.</w:t>
      </w:r>
    </w:p>
    <w:p>
      <w:pPr>
        <w:pStyle w:val="FirstParagraph"/>
      </w:pPr>
      <w:r>
        <w:t xml:space="preserve">These projects reflect the engineer’s adaptability to Dubai’s unique regulatory and operational environment. Their contributions have been instrumental in ensuring project success while adhering to local codes and international best practices.</w:t>
      </w:r>
    </w:p>
    <w:bookmarkEnd w:id="27"/>
    <w:bookmarkStart w:id="28" w:name="regulatory-compliance"/>
    <w:p>
      <w:pPr>
        <w:pStyle w:val="Heading2"/>
      </w:pPr>
      <w:r>
        <w:t xml:space="preserve">6. Regulatory Compliance</w:t>
      </w:r>
    </w:p>
    <w:p>
      <w:pPr>
        <w:pStyle w:val="FirstParagraph"/>
      </w:pPr>
      <w:r>
        <w:t xml:space="preserve">Compliance with UAE and Dubai regulations is a critical aspect of engineering practice. The engineer has shown a thorough understanding of relevant standards, including:</w:t>
      </w:r>
    </w:p>
    <w:p>
      <w:pPr>
        <w:numPr>
          <w:ilvl w:val="0"/>
          <w:numId w:val="1003"/>
        </w:numPr>
        <w:pStyle w:val="Compact"/>
      </w:pPr>
      <w:r>
        <w:t xml:space="preserve">Dubai Municipality Building and Safety Codes.</w:t>
      </w:r>
    </w:p>
    <w:p>
      <w:pPr>
        <w:numPr>
          <w:ilvl w:val="0"/>
          <w:numId w:val="1003"/>
        </w:numPr>
        <w:pStyle w:val="Compact"/>
      </w:pPr>
      <w:r>
        <w:t xml:space="preserve">UAE Federal Law on Occupational Health and Safety.</w:t>
      </w:r>
    </w:p>
    <w:p>
      <w:pPr>
        <w:numPr>
          <w:ilvl w:val="0"/>
          <w:numId w:val="1003"/>
        </w:numPr>
        <w:pStyle w:val="Compact"/>
      </w:pPr>
      <w:r>
        <w:t xml:space="preserve">International standards such as ASME, API, and ISO, as adopted in the UAE.</w:t>
      </w:r>
    </w:p>
    <w:p>
      <w:pPr>
        <w:pStyle w:val="FirstParagraph"/>
      </w:pPr>
      <w:r>
        <w:t xml:space="preserve">Their work consistently reflects adherence to these regulations, minimizing risks and ensuring legal and operational integrity.</w:t>
      </w:r>
    </w:p>
    <w:bookmarkEnd w:id="28"/>
    <w:bookmarkStart w:id="29" w:name="X6dd505f4f92e7f313dc77d3117b43de27380007"/>
    <w:p>
      <w:pPr>
        <w:pStyle w:val="Heading2"/>
      </w:pPr>
      <w:r>
        <w:t xml:space="preserve">7. Health, Safety, and Environmental (HSE) Practices</w:t>
      </w:r>
    </w:p>
    <w:p>
      <w:pPr>
        <w:pStyle w:val="FirstParagraph"/>
      </w:pPr>
      <w:r>
        <w:t xml:space="preserve">The engineer has prioritized HSE considerations in all projects, aligning with Dubai’s commitment to sustainable development. Their approach includes:</w:t>
      </w:r>
    </w:p>
    <w:p>
      <w:pPr>
        <w:numPr>
          <w:ilvl w:val="0"/>
          <w:numId w:val="1004"/>
        </w:numPr>
        <w:pStyle w:val="Compact"/>
      </w:pPr>
      <w:r>
        <w:t xml:space="preserve">Conducting hazard and operability studies (HAZOP).</w:t>
      </w:r>
    </w:p>
    <w:p>
      <w:pPr>
        <w:numPr>
          <w:ilvl w:val="0"/>
          <w:numId w:val="1004"/>
        </w:numPr>
        <w:pStyle w:val="Compact"/>
      </w:pPr>
      <w:r>
        <w:t xml:space="preserve">Implementing waste reduction and emission control measures.</w:t>
      </w:r>
    </w:p>
    <w:p>
      <w:pPr>
        <w:numPr>
          <w:ilvl w:val="0"/>
          <w:numId w:val="1004"/>
        </w:numPr>
        <w:pStyle w:val="Compact"/>
      </w:pPr>
      <w:r>
        <w:t xml:space="preserve">Ensuring worker safety through rigorous training and protocol enforcement.</w:t>
      </w:r>
    </w:p>
    <w:p>
      <w:pPr>
        <w:pStyle w:val="FirstParagraph"/>
      </w:pPr>
      <w:r>
        <w:t xml:space="preserve">These efforts contribute to Dubai’s vision of becoming a global leader in sustainable industrial practices.</w:t>
      </w:r>
    </w:p>
    <w:bookmarkEnd w:id="29"/>
    <w:bookmarkStart w:id="30" w:name="professional-ethics-and-conduct"/>
    <w:p>
      <w:pPr>
        <w:pStyle w:val="Heading2"/>
      </w:pPr>
      <w:r>
        <w:t xml:space="preserve">8. Professional Ethics and Conduct</w:t>
      </w:r>
    </w:p>
    <w:p>
      <w:pPr>
        <w:pStyle w:val="FirstParagraph"/>
      </w:pPr>
      <w:r>
        <w:t xml:space="preserve">The engineer has upheld the highest standards of professional ethics, demonstrating integrity, accountability, and respect for stakeholders. Their conduct aligns with the code of ethics established by recognized engineering bodies in the UAE and internationally.</w:t>
      </w:r>
    </w:p>
    <w:bookmarkEnd w:id="30"/>
    <w:bookmarkStart w:id="31" w:name="recommendations"/>
    <w:p>
      <w:pPr>
        <w:pStyle w:val="Heading2"/>
      </w:pPr>
      <w:r>
        <w:t xml:space="preserve">9. Recommendations</w:t>
      </w:r>
    </w:p>
    <w:p>
      <w:pPr>
        <w:pStyle w:val="FirstParagraph"/>
      </w:pPr>
      <w:r>
        <w:t xml:space="preserve">Based on this review, the following recommendations are made:</w:t>
      </w:r>
    </w:p>
    <w:p>
      <w:pPr>
        <w:numPr>
          <w:ilvl w:val="0"/>
          <w:numId w:val="1005"/>
        </w:numPr>
        <w:pStyle w:val="Compact"/>
      </w:pPr>
      <w:r>
        <w:t xml:space="preserve">Continue professional development through advanced training in emerging technologies.</w:t>
      </w:r>
    </w:p>
    <w:p>
      <w:pPr>
        <w:numPr>
          <w:ilvl w:val="0"/>
          <w:numId w:val="1005"/>
        </w:numPr>
        <w:pStyle w:val="Compact"/>
      </w:pPr>
      <w:r>
        <w:t xml:space="preserve">Engage more actively in industry forums and knowledge-sharing initiatives in Dubai.</w:t>
      </w:r>
    </w:p>
    <w:p>
      <w:pPr>
        <w:numPr>
          <w:ilvl w:val="0"/>
          <w:numId w:val="1005"/>
        </w:numPr>
        <w:pStyle w:val="Compact"/>
      </w:pPr>
      <w:r>
        <w:t xml:space="preserve">Explore opportunities to lead larger-scale projects to further demonstrate expertise.</w:t>
      </w:r>
    </w:p>
    <w:bookmarkEnd w:id="31"/>
    <w:bookmarkStart w:id="32" w:name="conclusion"/>
    <w:p>
      <w:pPr>
        <w:pStyle w:val="Heading2"/>
      </w:pPr>
      <w:r>
        <w:t xml:space="preserve">10. Conclusion</w:t>
      </w:r>
    </w:p>
    <w:p>
      <w:pPr>
        <w:pStyle w:val="FirstParagraph"/>
      </w:pPr>
      <w:r>
        <w:t xml:space="preserve">This Peer Review Report confirms that the Chemical Engineer under review meets the professional, technical, and ethical standards required for practice in Dubai, United Arab Emirates. Their contributions to the chemical engineering sector in Dubai are valuable and align with the region’s goals for innovation, safety, and sustainability.</w:t>
      </w:r>
    </w:p>
    <w:bookmarkEnd w:id="32"/>
    <w:p>
      <w:pPr>
        <w:pStyle w:val="BodyText"/>
      </w:pPr>
      <w:r>
        <w:rPr>
          <w:bCs/>
          <w:b/>
        </w:rPr>
        <w:t xml:space="preserve">Reviewed by:</w:t>
      </w:r>
      <w:r>
        <w:t xml:space="preserve"> </w:t>
      </w:r>
      <w:r>
        <w:t xml:space="preserve">[Reviewer’s Name]</w:t>
      </w:r>
    </w:p>
    <w:p>
      <w:pPr>
        <w:pStyle w:val="BodyText"/>
      </w:pPr>
      <w:r>
        <w:rPr>
          <w:bCs/>
          <w:b/>
        </w:rPr>
        <w:t xml:space="preserve">Title:</w:t>
      </w:r>
      <w:r>
        <w:t xml:space="preserve"> </w:t>
      </w:r>
      <w:r>
        <w:t xml:space="preserve">Senior Chemical Engineer / Peer Reviewer</w:t>
      </w:r>
    </w:p>
    <w:p>
      <w:pPr>
        <w:pStyle w:val="BodyText"/>
      </w:pPr>
      <w:r>
        <w:rPr>
          <w:bCs/>
          <w:b/>
        </w:rPr>
        <w:t xml:space="preserve">Date:</w:t>
      </w:r>
      <w:r>
        <w:t xml:space="preserve"> </w:t>
      </w:r>
      <w:r>
        <w:t xml:space="preserve">[Date]</w:t>
      </w:r>
    </w:p>
    <w:p>
      <w:pPr>
        <w:pStyle w:val="BodyText"/>
      </w:pPr>
      <w:r>
        <w:rPr>
          <w:bCs/>
          <w:b/>
        </w:rPr>
        <w:t xml:space="preserve">Location:</w:t>
      </w:r>
      <w:r>
        <w:t xml:space="preserve"> </w:t>
      </w:r>
      <w:r>
        <w:t xml:space="preserve">Dubai, United Arab Emirates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Chemical Engineer - United Arab Emirates Dubai</dc:title>
  <dc:creator/>
  <dc:language>en</dc:language>
  <cp:keywords/>
  <dcterms:created xsi:type="dcterms:W3CDTF">2026-10-10T04:22:25Z</dcterms:created>
  <dcterms:modified xsi:type="dcterms:W3CDTF">2026-10-10T04:22:25Z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