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31" w:name="X487f3fb17ffdcd22cd8fe558e6bd494b2d43698"/>
    <w:p>
      <w:pPr>
        <w:pStyle w:val="Heading1"/>
      </w:pPr>
      <w:r>
        <w:t xml:space="preserve">Peer Review Report: Chemist Practice Evaluation</w:t>
      </w:r>
    </w:p>
    <w:p>
      <w:pPr>
        <w:pStyle w:val="FirstParagraph"/>
      </w:pPr>
      <w:r>
        <w:rPr>
          <w:bCs/>
          <w:b/>
        </w:rPr>
        <w:t xml:space="preserve">Subject:</w:t>
      </w:r>
      <w:r>
        <w:t xml:space="preserve"> </w:t>
      </w:r>
      <w:r>
        <w:t xml:space="preserve">Professional Peer Review of Chemist Practice Standards</w:t>
      </w:r>
    </w:p>
    <w:p>
      <w:pPr>
        <w:pStyle w:val="BodyText"/>
      </w:pPr>
      <w:r>
        <w:rPr>
          <w:bCs/>
          <w:b/>
        </w:rPr>
        <w:t xml:space="preserve">Location:</w:t>
      </w:r>
      <w:r>
        <w:t xml:space="preserve"> </w:t>
      </w:r>
      <w:r>
        <w:t xml:space="preserve">Australia Brisbane, Queensland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Pharmacy Peer Review Panel</w:t>
      </w:r>
    </w:p>
    <w:p>
      <w:pPr>
        <w:pStyle w:val="BodyText"/>
      </w:pPr>
      <w:r>
        <w:rPr>
          <w:bCs/>
          <w:b/>
        </w:rPr>
        <w:t xml:space="preserve">Regulatory Context:</w:t>
      </w:r>
      <w:r>
        <w:t xml:space="preserve"> </w:t>
      </w:r>
      <w:r>
        <w:t xml:space="preserve">Pharmacy Board of Australia Standards for Pharmacy Practice</w:t>
      </w:r>
    </w:p>
    <w:bookmarkStart w:id="20" w:name="executive-summary"/>
    <w:p>
      <w:pPr>
        <w:pStyle w:val="Heading2"/>
      </w:pPr>
      <w:r>
        <w:t xml:space="preserve">1. Executive Summary</w:t>
      </w:r>
    </w:p>
    <w:p>
      <w:pPr>
        <w:pStyle w:val="FirstParagraph"/>
      </w:pPr>
      <w:r>
        <w:t xml:space="preserve">This Peer Review Report has been commissioned to evaluate the professional practice, clinical governance, and operational compliance of a registered Chemist operating within the metropolitan area of Australia Brisbane. The primary objective of this review is to ensure that the Chemist adheres to the rigorous standards set forth by the Pharmacy Board of Australia and the Therapeutic Goods Administration (TGA). Given the unique demographic and healthcare landscape of Brisbane, this report specifically assesses how the Chemist integrates local community health needs with national regulatory requirements. The review process involved a comprehensive audit of prescription handling, medication management services, staff competency, and facility safety protocols.</w:t>
      </w:r>
    </w:p>
    <w:bookmarkEnd w:id="20"/>
    <w:bookmarkStart w:id="21" w:name="introduction-and-scope"/>
    <w:p>
      <w:pPr>
        <w:pStyle w:val="Heading2"/>
      </w:pPr>
      <w:r>
        <w:t xml:space="preserve">2. Introduction and Scope</w:t>
      </w:r>
    </w:p>
    <w:p>
      <w:pPr>
        <w:pStyle w:val="FirstParagraph"/>
      </w:pPr>
      <w:r>
        <w:t xml:space="preserve">The role of a Chemist in Australia Brisbane is pivotal to the healthcare ecosystem. As a primary point of contact for many patients, the Chemist is responsible not only for the dispensing of medications but also for providing critical health advice, chronic disease management support, and public health initiatives. This Peer Review Report focuses on the following key areas:</w:t>
      </w:r>
    </w:p>
    <w:p>
      <w:pPr>
        <w:numPr>
          <w:ilvl w:val="0"/>
          <w:numId w:val="1001"/>
        </w:numPr>
        <w:pStyle w:val="Compact"/>
      </w:pPr>
      <w:r>
        <w:t xml:space="preserve">Compliance with the Standards for Pharmacy Practice.</w:t>
      </w:r>
    </w:p>
    <w:p>
      <w:pPr>
        <w:numPr>
          <w:ilvl w:val="0"/>
          <w:numId w:val="1001"/>
        </w:numPr>
        <w:pStyle w:val="Compact"/>
      </w:pPr>
      <w:r>
        <w:t xml:space="preserve">Accuracy and safety of prescription dispensing processes.</w:t>
      </w:r>
    </w:p>
    <w:p>
      <w:pPr>
        <w:numPr>
          <w:ilvl w:val="0"/>
          <w:numId w:val="1001"/>
        </w:numPr>
        <w:pStyle w:val="Compact"/>
      </w:pPr>
      <w:r>
        <w:t xml:space="preserve">Quality of patient counseling and medication therapy management.</w:t>
      </w:r>
    </w:p>
    <w:p>
      <w:pPr>
        <w:numPr>
          <w:ilvl w:val="0"/>
          <w:numId w:val="1001"/>
        </w:numPr>
        <w:pStyle w:val="Compact"/>
      </w:pPr>
      <w:r>
        <w:t xml:space="preserve">Management of controlled substances and restricted medicines.</w:t>
      </w:r>
    </w:p>
    <w:p>
      <w:pPr>
        <w:numPr>
          <w:ilvl w:val="0"/>
          <w:numId w:val="1001"/>
        </w:numPr>
        <w:pStyle w:val="Compact"/>
      </w:pPr>
      <w:r>
        <w:t xml:space="preserve">Staff training, supervision, and professional development.</w:t>
      </w:r>
    </w:p>
    <w:p>
      <w:pPr>
        <w:numPr>
          <w:ilvl w:val="0"/>
          <w:numId w:val="1001"/>
        </w:numPr>
        <w:pStyle w:val="Compact"/>
      </w:pPr>
      <w:r>
        <w:t xml:space="preserve">Facility hygiene, storage conditions, and emergency preparedness.</w:t>
      </w:r>
    </w:p>
    <w:p>
      <w:pPr>
        <w:pStyle w:val="FirstParagraph"/>
      </w:pPr>
      <w:r>
        <w:t xml:space="preserve">The review was conducted in accordance with the guidelines established by the Pharmacy Board of Australia, ensuring that the evaluation is objective, evidence-based, and aligned with the expectations of healthcare providers in Australia Brisbane.</w:t>
      </w:r>
    </w:p>
    <w:bookmarkEnd w:id="21"/>
    <w:bookmarkStart w:id="22" w:name="methodology"/>
    <w:p>
      <w:pPr>
        <w:pStyle w:val="Heading2"/>
      </w:pPr>
      <w:r>
        <w:t xml:space="preserve">3. Methodology</w:t>
      </w:r>
    </w:p>
    <w:p>
      <w:pPr>
        <w:pStyle w:val="FirstParagraph"/>
      </w:pPr>
      <w:r>
        <w:t xml:space="preserve">The peer review process employed a multi-faceted approach to ensure a thorough assessment of the Chemist's operations. The methodology included:</w:t>
      </w:r>
    </w:p>
    <w:p>
      <w:pPr>
        <w:numPr>
          <w:ilvl w:val="0"/>
          <w:numId w:val="1002"/>
        </w:numPr>
        <w:pStyle w:val="Compact"/>
      </w:pPr>
      <w:r>
        <w:rPr>
          <w:bCs/>
          <w:b/>
        </w:rPr>
        <w:t xml:space="preserve">Document Review:</w:t>
      </w:r>
      <w:r>
        <w:t xml:space="preserve"> </w:t>
      </w:r>
      <w:r>
        <w:t xml:space="preserve">Examination of standard operating procedures (SOPs), incident reports, staff training records, and compliance documentation.</w:t>
      </w:r>
    </w:p>
    <w:p>
      <w:pPr>
        <w:numPr>
          <w:ilvl w:val="0"/>
          <w:numId w:val="1002"/>
        </w:numPr>
        <w:pStyle w:val="Compact"/>
      </w:pPr>
      <w:r>
        <w:rPr>
          <w:bCs/>
          <w:b/>
        </w:rPr>
        <w:t xml:space="preserve">Site Inspection:</w:t>
      </w:r>
      <w:r>
        <w:t xml:space="preserve"> </w:t>
      </w:r>
      <w:r>
        <w:t xml:space="preserve">A physical inspection of the pharmacy premises in Australia Brisbane to assess storage conditions, cleanliness, and accessibility.</w:t>
      </w:r>
    </w:p>
    <w:p>
      <w:pPr>
        <w:numPr>
          <w:ilvl w:val="0"/>
          <w:numId w:val="1002"/>
        </w:numPr>
        <w:pStyle w:val="Compact"/>
      </w:pPr>
      <w:r>
        <w:rPr>
          <w:bCs/>
          <w:b/>
        </w:rPr>
        <w:t xml:space="preserve">Interviews:</w:t>
      </w:r>
      <w:r>
        <w:t xml:space="preserve"> </w:t>
      </w:r>
      <w:r>
        <w:t xml:space="preserve">Structured interviews with the lead Chemist, pharmacy technicians, and support staff to evaluate their understanding of protocols and patient care standards.</w:t>
      </w:r>
    </w:p>
    <w:p>
      <w:pPr>
        <w:numPr>
          <w:ilvl w:val="0"/>
          <w:numId w:val="1002"/>
        </w:numPr>
        <w:pStyle w:val="Compact"/>
      </w:pPr>
      <w:r>
        <w:rPr>
          <w:bCs/>
          <w:b/>
        </w:rPr>
        <w:t xml:space="preserve">Case Audits:</w:t>
      </w:r>
      <w:r>
        <w:t xml:space="preserve"> </w:t>
      </w:r>
      <w:r>
        <w:t xml:space="preserve">Random selection and review of prescription files to verify accuracy, appropriateness of counseling, and adherence to legal requirements.</w:t>
      </w:r>
    </w:p>
    <w:bookmarkEnd w:id="22"/>
    <w:bookmarkStart w:id="28" w:name="findings"/>
    <w:p>
      <w:pPr>
        <w:pStyle w:val="Heading2"/>
      </w:pPr>
      <w:r>
        <w:t xml:space="preserve">4. Findings</w:t>
      </w:r>
    </w:p>
    <w:bookmarkStart w:id="23" w:name="prescription-dispensing-and-accuracy"/>
    <w:p>
      <w:pPr>
        <w:pStyle w:val="Heading3"/>
      </w:pPr>
      <w:r>
        <w:t xml:space="preserve">4.1 Prescription Dispensing and Accuracy</w:t>
      </w:r>
    </w:p>
    <w:p>
      <w:pPr>
        <w:pStyle w:val="FirstParagraph"/>
      </w:pPr>
      <w:r>
        <w:t xml:space="preserve">The review found that the Chemist maintains a high level of accuracy in prescription dispensing. The use of automated dispensing systems, combined with manual verification processes, has significantly reduced the risk of medication errors. However, it was noted that during peak hours, the verification process could be expedited at the expense of thoroughness. It is recommended that the Chemist implement additional staffing or workflow adjustments during these periods to maintain the highest standards of safety.</w:t>
      </w:r>
    </w:p>
    <w:bookmarkEnd w:id="23"/>
    <w:bookmarkStart w:id="24" w:name="patient-counseling-and-clinical-services"/>
    <w:p>
      <w:pPr>
        <w:pStyle w:val="Heading3"/>
      </w:pPr>
      <w:r>
        <w:t xml:space="preserve">4.2 Patient Counseling and Clinical Services</w:t>
      </w:r>
    </w:p>
    <w:p>
      <w:pPr>
        <w:pStyle w:val="FirstParagraph"/>
      </w:pPr>
      <w:r>
        <w:t xml:space="preserve">The Chemist demonstrates a strong commitment to patient education and counseling. Staff members are proactive in discussing medication usage, potential side effects, and lifestyle modifications with patients. This is particularly relevant in Australia Brisbane, where there is a growing emphasis on preventive healthcare and chronic disease management. The Chemist offers specialized services such as medication reviews, immunizations, and blood pressure monitoring, which are highly valued by the local community.</w:t>
      </w:r>
    </w:p>
    <w:bookmarkEnd w:id="24"/>
    <w:bookmarkStart w:id="25" w:name="controlled-substances-management"/>
    <w:p>
      <w:pPr>
        <w:pStyle w:val="Heading3"/>
      </w:pPr>
      <w:r>
        <w:t xml:space="preserve">4.3 Controlled Substances Management</w:t>
      </w:r>
    </w:p>
    <w:p>
      <w:pPr>
        <w:pStyle w:val="FirstParagraph"/>
      </w:pPr>
      <w:r>
        <w:t xml:space="preserve">The management of controlled substances is a critical aspect of pharmacy practice. The review confirmed that the Chemist adheres to all legal requirements regarding the storage, documentation, and dispensing of Schedule 8 and Schedule 4 medicines. The secure storage facilities are well-maintained, and access is strictly controlled. Regular audits of controlled substance inventories are conducted, and any discrepancies are promptly investigated.</w:t>
      </w:r>
    </w:p>
    <w:bookmarkEnd w:id="25"/>
    <w:bookmarkStart w:id="26" w:name="staff-competency-and-training"/>
    <w:p>
      <w:pPr>
        <w:pStyle w:val="Heading3"/>
      </w:pPr>
      <w:r>
        <w:t xml:space="preserve">4.4 Staff Competency and Training</w:t>
      </w:r>
    </w:p>
    <w:p>
      <w:pPr>
        <w:pStyle w:val="FirstParagraph"/>
      </w:pPr>
      <w:r>
        <w:t xml:space="preserve">The Chemist invests significantly in the professional development of its staff. All employees are required to complete ongoing education and training programs to stay updated with the latest advancements in pharmacy practice. The review found that staff members are knowledgeable about new medications, therapeutic guidelines, and regulatory changes. However, it was recommended that additional training be provided on cultural competency to better serve the diverse population of Australia Brisbane.</w:t>
      </w:r>
    </w:p>
    <w:bookmarkEnd w:id="26"/>
    <w:bookmarkStart w:id="27" w:name="facility-and-safety-standards"/>
    <w:p>
      <w:pPr>
        <w:pStyle w:val="Heading3"/>
      </w:pPr>
      <w:r>
        <w:t xml:space="preserve">4.5 Facility and Safety Standards</w:t>
      </w:r>
    </w:p>
    <w:p>
      <w:pPr>
        <w:pStyle w:val="FirstParagraph"/>
      </w:pPr>
      <w:r>
        <w:t xml:space="preserve">The pharmacy premises are clean, well-organized, and compliant with health and safety regulations. Storage conditions for medications are appropriate, with temperature and humidity levels regularly monitored. Emergency procedures are clearly documented and communicated to all staff. The Chemist has also implemented measures to ensure the safety of both patients and staff, including the installation of security cameras and panic buttons.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practice of the Chemist in Australia Brisbane:</w:t>
      </w:r>
    </w:p>
    <w:p>
      <w:pPr>
        <w:numPr>
          <w:ilvl w:val="0"/>
          <w:numId w:val="1003"/>
        </w:numPr>
        <w:pStyle w:val="Compact"/>
      </w:pPr>
      <w:r>
        <w:t xml:space="preserve">Implement additional staffing or workflow adjustments during peak hours to ensure thorough verification of prescriptions.</w:t>
      </w:r>
    </w:p>
    <w:p>
      <w:pPr>
        <w:numPr>
          <w:ilvl w:val="0"/>
          <w:numId w:val="1003"/>
        </w:numPr>
        <w:pStyle w:val="Compact"/>
      </w:pPr>
      <w:r>
        <w:t xml:space="preserve">Provide additional training on cultural competency to better serve the diverse population of Australia Brisbane.</w:t>
      </w:r>
    </w:p>
    <w:p>
      <w:pPr>
        <w:numPr>
          <w:ilvl w:val="0"/>
          <w:numId w:val="1003"/>
        </w:numPr>
        <w:pStyle w:val="Compact"/>
      </w:pPr>
      <w:r>
        <w:t xml:space="preserve">Enhance patient engagement through the use of digital tools and telehealth services.</w:t>
      </w:r>
    </w:p>
    <w:p>
      <w:pPr>
        <w:numPr>
          <w:ilvl w:val="0"/>
          <w:numId w:val="1003"/>
        </w:numPr>
        <w:pStyle w:val="Compact"/>
      </w:pPr>
      <w:r>
        <w:t xml:space="preserve">Conduct regular mock audits of controlled substance inventories to ensure ongoing compliance.</w:t>
      </w:r>
    </w:p>
    <w:p>
      <w:pPr>
        <w:numPr>
          <w:ilvl w:val="0"/>
          <w:numId w:val="1003"/>
        </w:numPr>
        <w:pStyle w:val="Compact"/>
      </w:pPr>
      <w:r>
        <w:t xml:space="preserve">Strengthen collaboration with local healthcare providers to improve patient outcomes and streamline care pathways.</w:t>
      </w:r>
    </w:p>
    <w:bookmarkEnd w:id="29"/>
    <w:bookmarkStart w:id="30" w:name="conclusion"/>
    <w:p>
      <w:pPr>
        <w:pStyle w:val="Heading2"/>
      </w:pPr>
      <w:r>
        <w:t xml:space="preserve">6. Conclusion</w:t>
      </w:r>
    </w:p>
    <w:p>
      <w:pPr>
        <w:pStyle w:val="FirstParagraph"/>
      </w:pPr>
      <w:r>
        <w:t xml:space="preserve">This Peer Review Report confirms that the Chemist operating in Australia Brisbane maintains a high standard of professional practice. The Chemist is committed to providing safe, effective, and patient-centered care, in accordance with the Standards for Pharmacy Practice. By implementing the recommendations outlined in this report, the Chemist can further enhance its operations and continue to serve as a vital resource for the community. The review underscores the importance of ongoing professional development, regulatory compliance, and a patient-focused approach in the dynamic healthcare environment of Australia Brisbane.</w:t>
      </w:r>
    </w:p>
    <w:p>
      <w:pPr>
        <w:pStyle w:val="BodyText"/>
      </w:pPr>
      <w:r>
        <w:rPr>
          <w:bCs/>
          <w:b/>
        </w:rPr>
        <w:t xml:space="preserve">Prepared by:</w:t>
      </w:r>
    </w:p>
    <w:p>
      <w:pPr>
        <w:pStyle w:val="BodyText"/>
      </w:pPr>
      <w:r>
        <w:t xml:space="preserve">Dr. Jane Smith, PharmD</w:t>
      </w:r>
    </w:p>
    <w:p>
      <w:pPr>
        <w:pStyle w:val="BodyText"/>
      </w:pPr>
      <w:r>
        <w:t xml:space="preserve">Lead Peer Reviewer</w:t>
      </w:r>
    </w:p>
    <w:p>
      <w:pPr>
        <w:pStyle w:val="BodyText"/>
      </w:pPr>
      <w:r>
        <w:t xml:space="preserve">Independent Pharmacy Peer Review Panel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Practice in Australia Brisbane</dc:title>
  <dc:creator/>
  <dc:language>en</dc:language>
  <cp:keywords/>
  <dcterms:created xsi:type="dcterms:W3CDTF">2026-10-10T08:06:22Z</dcterms:created>
  <dcterms:modified xsi:type="dcterms:W3CDTF">2026-10-10T08:06:22Z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