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of a Registered Chemist</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Pharmacy Board of Australia and the relevant regulatory bodies governing pharmacy practice in Australia Sydney. The purpose of this review is to evaluate the professional competence, clinical practice, and operational standards of the chemist under review. This document aims to ensure that the chemist maintains the highest level of patient care, adheres to legal and ethical obligations, and contributes positively to the healthcare system in Australia Sydney.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Clinical practice and patient care</w:t>
      </w:r>
    </w:p>
    <w:p>
      <w:pPr>
        <w:numPr>
          <w:ilvl w:val="0"/>
          <w:numId w:val="1001"/>
        </w:numPr>
        <w:pStyle w:val="Compact"/>
      </w:pPr>
      <w:r>
        <w:t xml:space="preserve">Medication management and dispensing accuracy</w:t>
      </w:r>
    </w:p>
    <w:p>
      <w:pPr>
        <w:numPr>
          <w:ilvl w:val="0"/>
          <w:numId w:val="1001"/>
        </w:numPr>
        <w:pStyle w:val="Compact"/>
      </w:pPr>
      <w:r>
        <w:t xml:space="preserve">Compliance with legislative and regulatory requirements</w:t>
      </w:r>
    </w:p>
    <w:p>
      <w:pPr>
        <w:numPr>
          <w:ilvl w:val="0"/>
          <w:numId w:val="1001"/>
        </w:numPr>
        <w:pStyle w:val="Compact"/>
      </w:pPr>
      <w:r>
        <w:t xml:space="preserve">Professional development and continuing education</w:t>
      </w:r>
    </w:p>
    <w:p>
      <w:pPr>
        <w:numPr>
          <w:ilvl w:val="0"/>
          <w:numId w:val="1001"/>
        </w:numPr>
        <w:pStyle w:val="Compact"/>
      </w:pPr>
      <w:r>
        <w:t xml:space="preserve">Workplace safety and infection control</w:t>
      </w:r>
    </w:p>
    <w:p>
      <w:pPr>
        <w:numPr>
          <w:ilvl w:val="0"/>
          <w:numId w:val="1001"/>
        </w:numPr>
        <w:pStyle w:val="Compact"/>
      </w:pPr>
      <w:r>
        <w:t xml:space="preserve">Communication and collaboration with healthcare professionals</w:t>
      </w:r>
    </w:p>
    <w:p>
      <w:pPr>
        <w:pStyle w:val="FirstParagraph"/>
      </w:pPr>
      <w:r>
        <w:t xml:space="preserve">The review was conducted through a combination of file audits, direct observation, interviews with staff and patients, and analysis of performance metrics.</w:t>
      </w:r>
    </w:p>
    <w:bookmarkEnd w:id="22"/>
    <w:bookmarkStart w:id="23" w:name="clinical-practice-and-patient-care"/>
    <w:p>
      <w:pPr>
        <w:pStyle w:val="Heading2"/>
      </w:pPr>
      <w:r>
        <w:t xml:space="preserve">3. Clinical Practice and Patient Care</w:t>
      </w:r>
    </w:p>
    <w:p>
      <w:pPr>
        <w:pStyle w:val="FirstParagraph"/>
      </w:pPr>
      <w:r>
        <w:t xml:space="preserve">The chemist demonstrated a strong commitment to providing high-quality clinical care to patients in Australia Sydney. Key observations include:</w:t>
      </w:r>
    </w:p>
    <w:p>
      <w:pPr>
        <w:numPr>
          <w:ilvl w:val="0"/>
          <w:numId w:val="1002"/>
        </w:numPr>
        <w:pStyle w:val="Compact"/>
      </w:pPr>
      <w:r>
        <w:t xml:space="preserve">Consistent engagement in medication reviews and patient consultations.</w:t>
      </w:r>
    </w:p>
    <w:p>
      <w:pPr>
        <w:numPr>
          <w:ilvl w:val="0"/>
          <w:numId w:val="1002"/>
        </w:numPr>
        <w:pStyle w:val="Compact"/>
      </w:pPr>
      <w:r>
        <w:t xml:space="preserve">Effective identification and management of drug interactions and adverse effects.</w:t>
      </w:r>
    </w:p>
    <w:p>
      <w:pPr>
        <w:numPr>
          <w:ilvl w:val="0"/>
          <w:numId w:val="1002"/>
        </w:numPr>
        <w:pStyle w:val="Compact"/>
      </w:pPr>
      <w:r>
        <w:t xml:space="preserve">Provision of clear and understandable information to patients regarding their medications.</w:t>
      </w:r>
    </w:p>
    <w:p>
      <w:pPr>
        <w:numPr>
          <w:ilvl w:val="0"/>
          <w:numId w:val="1002"/>
        </w:numPr>
        <w:pStyle w:val="Compact"/>
      </w:pPr>
      <w:r>
        <w:t xml:space="preserve">Active participation in chronic disease management programs, particularly for conditions such as diabetes, hypertension, and asthma.</w:t>
      </w:r>
    </w:p>
    <w:p>
      <w:pPr>
        <w:pStyle w:val="FirstParagraph"/>
      </w:pPr>
      <w:r>
        <w:t xml:space="preserve">Areas for improvement include enhancing the documentation of clinical interventions and ensuring that all patient consultations are recorded in a standardized format.</w:t>
      </w:r>
    </w:p>
    <w:bookmarkEnd w:id="23"/>
    <w:bookmarkStart w:id="24" w:name="X5c6e07a235e0d6f74943651531d95a33578478a"/>
    <w:p>
      <w:pPr>
        <w:pStyle w:val="Heading2"/>
      </w:pPr>
      <w:r>
        <w:t xml:space="preserve">4. Medication Management and Dispensing Accuracy</w:t>
      </w:r>
    </w:p>
    <w:p>
      <w:pPr>
        <w:pStyle w:val="FirstParagraph"/>
      </w:pPr>
      <w:r>
        <w:t xml:space="preserve">The review found that the chemist maintains a high level of accuracy in medication dispensing. Key findings include:</w:t>
      </w:r>
    </w:p>
    <w:p>
      <w:pPr>
        <w:numPr>
          <w:ilvl w:val="0"/>
          <w:numId w:val="1003"/>
        </w:numPr>
        <w:pStyle w:val="Compact"/>
      </w:pPr>
      <w:r>
        <w:t xml:space="preserve">Implementation of robust double-check procedures for high-risk medications.</w:t>
      </w:r>
    </w:p>
    <w:p>
      <w:pPr>
        <w:numPr>
          <w:ilvl w:val="0"/>
          <w:numId w:val="1003"/>
        </w:numPr>
        <w:pStyle w:val="Compact"/>
      </w:pPr>
      <w:r>
        <w:t xml:space="preserve">Regular calibration and maintenance of dispensing equipment.</w:t>
      </w:r>
    </w:p>
    <w:p>
      <w:pPr>
        <w:numPr>
          <w:ilvl w:val="0"/>
          <w:numId w:val="1003"/>
        </w:numPr>
        <w:pStyle w:val="Compact"/>
      </w:pPr>
      <w:r>
        <w:t xml:space="preserve">Effective management of stock levels to minimize the risk of dispensing expired medications.</w:t>
      </w:r>
    </w:p>
    <w:p>
      <w:pPr>
        <w:pStyle w:val="FirstParagraph"/>
      </w:pPr>
      <w:r>
        <w:t xml:space="preserve">However, there were instances where labeling errors occurred, highlighting the need for additional training and stricter adherence to labeling protocols.</w:t>
      </w:r>
    </w:p>
    <w:bookmarkEnd w:id="24"/>
    <w:bookmarkStart w:id="25" w:name="X4a96163e90791a1a63a4d455de57eaa37071e20"/>
    <w:p>
      <w:pPr>
        <w:pStyle w:val="Heading2"/>
      </w:pPr>
      <w:r>
        <w:t xml:space="preserve">5. Compliance with Legislative and Regulatory Requirements</w:t>
      </w:r>
    </w:p>
    <w:p>
      <w:pPr>
        <w:pStyle w:val="FirstParagraph"/>
      </w:pPr>
      <w:r>
        <w:t xml:space="preserve">The chemist was found to be generally compliant with the legislative and regulatory requirements applicable to pharmacy practice in Australia Sydney. This includes:</w:t>
      </w:r>
    </w:p>
    <w:p>
      <w:pPr>
        <w:numPr>
          <w:ilvl w:val="0"/>
          <w:numId w:val="1004"/>
        </w:numPr>
        <w:pStyle w:val="Compact"/>
      </w:pPr>
      <w:r>
        <w:t xml:space="preserve">Adherence to the Poisons Standard and state-based regulations.</w:t>
      </w:r>
    </w:p>
    <w:p>
      <w:pPr>
        <w:numPr>
          <w:ilvl w:val="0"/>
          <w:numId w:val="1004"/>
        </w:numPr>
        <w:pStyle w:val="Compact"/>
      </w:pPr>
      <w:r>
        <w:t xml:space="preserve">Maintenance of accurate records for controlled substances.</w:t>
      </w:r>
    </w:p>
    <w:p>
      <w:pPr>
        <w:numPr>
          <w:ilvl w:val="0"/>
          <w:numId w:val="1004"/>
        </w:numPr>
        <w:pStyle w:val="Compact"/>
      </w:pPr>
      <w:r>
        <w:t xml:space="preserve">Compliance with privacy laws, including the Privacy Act 1988 and the Australian Privacy Principles.</w:t>
      </w:r>
    </w:p>
    <w:p>
      <w:pPr>
        <w:pStyle w:val="FirstParagraph"/>
      </w:pPr>
      <w:r>
        <w:t xml:space="preserve">Recommendations include conducting regular internal audits to ensure ongoing compliance and staying updated with any changes in legislation.</w:t>
      </w:r>
    </w:p>
    <w:bookmarkEnd w:id="25"/>
    <w:bookmarkStart w:id="26" w:name="Xb37de5b4191a7eb83c1cc4758fac34b3b558f6d"/>
    <w:p>
      <w:pPr>
        <w:pStyle w:val="Heading2"/>
      </w:pPr>
      <w:r>
        <w:t xml:space="preserve">6. Professional Development and Continuing Education</w:t>
      </w:r>
    </w:p>
    <w:p>
      <w:pPr>
        <w:pStyle w:val="FirstParagraph"/>
      </w:pPr>
      <w:r>
        <w:t xml:space="preserve">The chemist has actively engaged in professional development activities, including:</w:t>
      </w:r>
    </w:p>
    <w:p>
      <w:pPr>
        <w:numPr>
          <w:ilvl w:val="0"/>
          <w:numId w:val="1005"/>
        </w:numPr>
        <w:pStyle w:val="Compact"/>
      </w:pPr>
      <w:r>
        <w:t xml:space="preserve">Attendance at relevant conferences and workshops.</w:t>
      </w:r>
    </w:p>
    <w:p>
      <w:pPr>
        <w:numPr>
          <w:ilvl w:val="0"/>
          <w:numId w:val="1005"/>
        </w:numPr>
        <w:pStyle w:val="Compact"/>
      </w:pPr>
      <w:r>
        <w:t xml:space="preserve">Completion of continuing professional development (CPD) hours as required by the Pharmacy Board of Australia.</w:t>
      </w:r>
    </w:p>
    <w:p>
      <w:pPr>
        <w:numPr>
          <w:ilvl w:val="0"/>
          <w:numId w:val="1005"/>
        </w:numPr>
        <w:pStyle w:val="Compact"/>
      </w:pPr>
      <w:r>
        <w:t xml:space="preserve">Pursuit of additional qualifications in specialized areas of pharmacy practice.</w:t>
      </w:r>
    </w:p>
    <w:p>
      <w:pPr>
        <w:pStyle w:val="FirstParagraph"/>
      </w:pPr>
      <w:r>
        <w:t xml:space="preserve">It is recommended that the chemist focus on developing skills in emerging areas such as digital health and telepharmacy to remain at the forefront of the profession.</w:t>
      </w:r>
    </w:p>
    <w:bookmarkEnd w:id="26"/>
    <w:bookmarkStart w:id="27" w:name="workplace-safety-and-infection-control"/>
    <w:p>
      <w:pPr>
        <w:pStyle w:val="Heading2"/>
      </w:pPr>
      <w:r>
        <w:t xml:space="preserve">7. Workplace Safety and Infection Control</w:t>
      </w:r>
    </w:p>
    <w:p>
      <w:pPr>
        <w:pStyle w:val="FirstParagraph"/>
      </w:pPr>
      <w:r>
        <w:t xml:space="preserve">The review assessed the chemist's adherence to workplace safety and infection control protocols. Key observations include:</w:t>
      </w:r>
    </w:p>
    <w:p>
      <w:pPr>
        <w:numPr>
          <w:ilvl w:val="0"/>
          <w:numId w:val="1006"/>
        </w:numPr>
        <w:pStyle w:val="Compact"/>
      </w:pPr>
      <w:r>
        <w:t xml:space="preserve">Implementation of effective hand hygiene practices.</w:t>
      </w:r>
    </w:p>
    <w:p>
      <w:pPr>
        <w:numPr>
          <w:ilvl w:val="0"/>
          <w:numId w:val="1006"/>
        </w:numPr>
        <w:pStyle w:val="Compact"/>
      </w:pPr>
      <w:r>
        <w:t xml:space="preserve">Proper disposal of pharmaceutical waste in accordance with environmental regulations.</w:t>
      </w:r>
    </w:p>
    <w:p>
      <w:pPr>
        <w:numPr>
          <w:ilvl w:val="0"/>
          <w:numId w:val="1006"/>
        </w:numPr>
        <w:pStyle w:val="Compact"/>
      </w:pPr>
      <w:r>
        <w:t xml:space="preserve">Regular training of staff on safety procedures and emergency response.</w:t>
      </w:r>
    </w:p>
    <w:p>
      <w:pPr>
        <w:pStyle w:val="FirstParagraph"/>
      </w:pPr>
      <w:r>
        <w:t xml:space="preserve">Areas for improvement include enhancing the visibility of safety signage and ensuring that all staff are up-to-date with their vaccinations.</w:t>
      </w:r>
    </w:p>
    <w:bookmarkEnd w:id="27"/>
    <w:bookmarkStart w:id="28" w:name="Xf1d57a6da5193cbcd3c25779e131f0e7af60265"/>
    <w:p>
      <w:pPr>
        <w:pStyle w:val="Heading2"/>
      </w:pPr>
      <w:r>
        <w:t xml:space="preserve">8. Communication and Collaboration with Healthcare Professionals</w:t>
      </w:r>
    </w:p>
    <w:p>
      <w:pPr>
        <w:pStyle w:val="FirstParagraph"/>
      </w:pPr>
      <w:r>
        <w:t xml:space="preserve">The chemist demonstrated strong communication skills and actively collaborates with other healthcare professionals in Australia Sydney. This includes:</w:t>
      </w:r>
    </w:p>
    <w:p>
      <w:pPr>
        <w:numPr>
          <w:ilvl w:val="0"/>
          <w:numId w:val="1007"/>
        </w:numPr>
        <w:pStyle w:val="Compact"/>
      </w:pPr>
      <w:r>
        <w:t xml:space="preserve">Regular consultation with general practitioners and specialists regarding patient care.</w:t>
      </w:r>
    </w:p>
    <w:p>
      <w:pPr>
        <w:numPr>
          <w:ilvl w:val="0"/>
          <w:numId w:val="1007"/>
        </w:numPr>
        <w:pStyle w:val="Compact"/>
      </w:pPr>
      <w:r>
        <w:t xml:space="preserve">Participation in multidisciplinary team meetings.</w:t>
      </w:r>
    </w:p>
    <w:p>
      <w:pPr>
        <w:numPr>
          <w:ilvl w:val="0"/>
          <w:numId w:val="1007"/>
        </w:numPr>
        <w:pStyle w:val="Compact"/>
      </w:pPr>
      <w:r>
        <w:t xml:space="preserve">Effective communication with patients and their families to ensure understanding of treatment plans.</w:t>
      </w:r>
    </w:p>
    <w:p>
      <w:pPr>
        <w:pStyle w:val="FirstParagraph"/>
      </w:pPr>
      <w:r>
        <w:t xml:space="preserve">Recommendations include exploring opportunities for greater integration with local healthcare networks to enhance patient outcomes.</w:t>
      </w:r>
    </w:p>
    <w:bookmarkEnd w:id="28"/>
    <w:bookmarkStart w:id="29" w:name="conclusion-and-recommendations"/>
    <w:p>
      <w:pPr>
        <w:pStyle w:val="Heading2"/>
      </w:pPr>
      <w:r>
        <w:t xml:space="preserve">9. Conclusion and Recommendations</w:t>
      </w:r>
    </w:p>
    <w:p>
      <w:pPr>
        <w:pStyle w:val="FirstParagraph"/>
      </w:pPr>
      <w:r>
        <w:t xml:space="preserve">Overall, the chemist under review has demonstrated a high level of professional competence and commitment to patient care in Australia Sydney. The Peer Review Report highlights several strengths, including clinical expertise, medication management, and regulatory compliance. However, there are areas for improvement, particularly in documentation, labeling accuracy, and professional development in emerging fields.</w:t>
      </w:r>
    </w:p>
    <w:p>
      <w:pPr>
        <w:pStyle w:val="BodyText"/>
      </w:pPr>
      <w:r>
        <w:t xml:space="preserve">The following recommendations are made:</w:t>
      </w:r>
    </w:p>
    <w:p>
      <w:pPr>
        <w:numPr>
          <w:ilvl w:val="0"/>
          <w:numId w:val="1008"/>
        </w:numPr>
        <w:pStyle w:val="Compact"/>
      </w:pPr>
      <w:r>
        <w:t xml:space="preserve">Enhance documentation practices for clinical interventions and patient consultations.</w:t>
      </w:r>
    </w:p>
    <w:p>
      <w:pPr>
        <w:numPr>
          <w:ilvl w:val="0"/>
          <w:numId w:val="1008"/>
        </w:numPr>
        <w:pStyle w:val="Compact"/>
      </w:pPr>
      <w:r>
        <w:t xml:space="preserve">Implement additional training to reduce labeling errors.</w:t>
      </w:r>
    </w:p>
    <w:p>
      <w:pPr>
        <w:numPr>
          <w:ilvl w:val="0"/>
          <w:numId w:val="1008"/>
        </w:numPr>
        <w:pStyle w:val="Compact"/>
      </w:pPr>
      <w:r>
        <w:t xml:space="preserve">Conduct regular internal audits to ensure ongoing compliance with legislative requirements.</w:t>
      </w:r>
    </w:p>
    <w:p>
      <w:pPr>
        <w:numPr>
          <w:ilvl w:val="0"/>
          <w:numId w:val="1008"/>
        </w:numPr>
        <w:pStyle w:val="Compact"/>
      </w:pPr>
      <w:r>
        <w:t xml:space="preserve">Pursue professional development in digital health and telepharmacy.</w:t>
      </w:r>
    </w:p>
    <w:p>
      <w:pPr>
        <w:numPr>
          <w:ilvl w:val="0"/>
          <w:numId w:val="1008"/>
        </w:numPr>
        <w:pStyle w:val="Compact"/>
      </w:pPr>
      <w:r>
        <w:t xml:space="preserve">Strengthen collaboration with local healthcare networks.</w:t>
      </w:r>
    </w:p>
    <w:p>
      <w:pPr>
        <w:pStyle w:val="FirstParagraph"/>
      </w:pPr>
      <w:r>
        <w:t xml:space="preserve">By addressing these recommendations, the chemist can further elevate the quality of care provided to patients in Australia Sydney and maintain their standing as a trusted healthcare professional.</w:t>
      </w:r>
    </w:p>
    <w:bookmarkEnd w:id="29"/>
    <w:p>
      <w:pPr>
        <w:pStyle w:val="BodyText"/>
      </w:pPr>
      <w:r>
        <w:rPr>
          <w:bCs/>
          <w:b/>
        </w:rPr>
        <w:t xml:space="preserve">Prepared by:</w:t>
      </w:r>
    </w:p>
    <w:p>
      <w:pPr>
        <w:pStyle w:val="BodyText"/>
      </w:pPr>
      <w:r>
        <w:t xml:space="preserve">Dr. Jane Smith, PharmD</w:t>
      </w:r>
    </w:p>
    <w:p>
      <w:pPr>
        <w:pStyle w:val="BodyText"/>
      </w:pPr>
      <w:r>
        <w:t xml:space="preserve">Peer Reviewer</w:t>
      </w:r>
    </w:p>
    <w:p>
      <w:pPr>
        <w:pStyle w:val="BodyText"/>
      </w:pPr>
      <w:r>
        <w:t xml:space="preserve">Pharmacy Board of Australia</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Practice in Australia Sydney</dc:title>
  <dc:creator/>
  <dc:language>en</dc:language>
  <cp:keywords/>
  <dcterms:created xsi:type="dcterms:W3CDTF">2026-10-10T08:06:19Z</dcterms:created>
  <dcterms:modified xsi:type="dcterms:W3CDTF">2026-10-10T08:06:19Z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