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Chemist</w:t>
      </w:r>
      <w:r>
        <w:t xml:space="preserve"> </w:t>
      </w:r>
      <w:r>
        <w:t xml:space="preserve">Evaluation</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 of a Chemist</w:t>
      </w:r>
    </w:p>
    <w:p>
      <w:pPr>
        <w:pStyle w:val="BodyText"/>
      </w:pPr>
      <w:r>
        <w:rPr>
          <w:bCs/>
          <w:b/>
        </w:rPr>
        <w:t xml:space="preserve">Location:</w:t>
      </w:r>
      <w:r>
        <w:t xml:space="preserve"> </w:t>
      </w:r>
      <w:r>
        <w:t xml:space="preserve">Bogotá, Colombia</w:t>
      </w:r>
    </w:p>
    <w:bookmarkEnd w:id="20"/>
    <w:p>
      <w:pPr>
        <w:pStyle w:val="BodyText"/>
      </w:pPr>
      <w:r>
        <w:rPr>
          <w:bCs/>
          <w:b/>
        </w:rPr>
        <w:t xml:space="preserve">Report ID:</w:t>
      </w:r>
      <w:r>
        <w:t xml:space="preserve"> </w:t>
      </w:r>
      <w:r>
        <w:t xml:space="preserve">PR-BOG-2023-894</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Dr. Elena Rodriguez (Senior Analytical Chemist)</w:t>
      </w:r>
    </w:p>
    <w:p>
      <w:pPr>
        <w:pStyle w:val="BodyText"/>
      </w:pPr>
      <w:r>
        <w:rPr>
          <w:bCs/>
          <w:b/>
        </w:rPr>
        <w:t xml:space="preserve">Reviewee Name:</w:t>
      </w:r>
      <w:r>
        <w:t xml:space="preserve"> </w:t>
      </w:r>
      <w:r>
        <w:t xml:space="preserve">[Chemist Name Redacted]</w:t>
      </w:r>
    </w:p>
    <w:p>
      <w:pPr>
        <w:pStyle w:val="BodyText"/>
      </w:pPr>
      <w:r>
        <w:rPr>
          <w:bCs/>
          <w:b/>
        </w:rPr>
        <w:t xml:space="preserve">Department:</w:t>
      </w:r>
      <w:r>
        <w:t xml:space="preserve"> </w:t>
      </w:r>
      <w:r>
        <w:t xml:space="preserve">Quality Control &amp; Environmental Analysis</w:t>
      </w:r>
    </w:p>
    <w:p>
      <w:pPr>
        <w:pStyle w:val="BodyText"/>
      </w:pPr>
      <w:r>
        <w:rPr>
          <w:bCs/>
          <w:b/>
        </w:rPr>
        <w:t xml:space="preserve">Facility:</w:t>
      </w:r>
      <w:r>
        <w:t xml:space="preserve"> </w:t>
      </w:r>
      <w:r>
        <w:t xml:space="preserve">Central Laboratory, Bogotá D.C.</w:t>
      </w:r>
    </w:p>
    <w:bookmarkStart w:id="21" w:name="executive-summary"/>
    <w:p>
      <w:pPr>
        <w:pStyle w:val="Heading2"/>
      </w:pPr>
      <w:r>
        <w:t xml:space="preserve">1. Executive Summary</w:t>
      </w:r>
    </w:p>
    <w:p>
      <w:pPr>
        <w:pStyle w:val="FirstParagraph"/>
      </w:pPr>
      <w:r>
        <w:t xml:space="preserve">This Peer Review Report has been conducted to evaluate the technical proficiency, adherence to safety protocols, and regulatory compliance of the subject Chemist operating within the laboratory facilities in Bogotá, Colombia. The review aligns with the standards set by the Colombian Ministry of Health and Protection Social (Ministerio de Salud y Protección Social) and the specific ISO/IEC 17025 accreditation requirements maintained by our institution.</w:t>
      </w:r>
    </w:p>
    <w:p>
      <w:pPr>
        <w:pStyle w:val="BodyText"/>
      </w:pPr>
      <w:r>
        <w:t xml:space="preserve">The evaluation covers a three-month period of observation, focusing on analytical accuracy, sample handling, documentation integrity, and the application of chemical knowledge relevant to the local industrial and environmental context of Bogotá. The overall assessment indicates a high level of competence, with specific areas identified for continuous improvement regarding digital data management and advanced spectroscopic interpretation.</w:t>
      </w:r>
    </w:p>
    <w:bookmarkEnd w:id="21"/>
    <w:bookmarkStart w:id="22" w:name="scope-and-methodology"/>
    <w:p>
      <w:pPr>
        <w:pStyle w:val="Heading2"/>
      </w:pPr>
      <w:r>
        <w:t xml:space="preserve">2. Scope and Methodology</w:t>
      </w:r>
    </w:p>
    <w:p>
      <w:pPr>
        <w:pStyle w:val="FirstParagraph"/>
      </w:pPr>
      <w:r>
        <w:t xml:space="preserve">The scope of this review encompasses the Chemist's daily operations, including but not limited to:</w:t>
      </w:r>
    </w:p>
    <w:p>
      <w:pPr>
        <w:numPr>
          <w:ilvl w:val="0"/>
          <w:numId w:val="1001"/>
        </w:numPr>
        <w:pStyle w:val="Compact"/>
      </w:pPr>
      <w:r>
        <w:t xml:space="preserve">Execution of quantitative and qualitative chemical analyses.</w:t>
      </w:r>
    </w:p>
    <w:p>
      <w:pPr>
        <w:numPr>
          <w:ilvl w:val="0"/>
          <w:numId w:val="1001"/>
        </w:numPr>
        <w:pStyle w:val="Compact"/>
      </w:pPr>
      <w:r>
        <w:t xml:space="preserve">Calibration and maintenance of laboratory instrumentation (HPLC, GC-MS, Spectrophotometers).</w:t>
      </w:r>
    </w:p>
    <w:p>
      <w:pPr>
        <w:numPr>
          <w:ilvl w:val="0"/>
          <w:numId w:val="1001"/>
        </w:numPr>
        <w:pStyle w:val="Compact"/>
      </w:pPr>
      <w:r>
        <w:t xml:space="preserve">Compliance with local Colombian regulations regarding hazardous waste disposal.</w:t>
      </w:r>
    </w:p>
    <w:p>
      <w:pPr>
        <w:numPr>
          <w:ilvl w:val="0"/>
          <w:numId w:val="1001"/>
        </w:numPr>
        <w:pStyle w:val="Compact"/>
      </w:pPr>
      <w:r>
        <w:t xml:space="preserve">Collaboration with multidisciplinary teams within the Bogotá metropolitan health and environmental sector.</w:t>
      </w:r>
    </w:p>
    <w:p>
      <w:pPr>
        <w:pStyle w:val="FirstParagraph"/>
      </w:pPr>
      <w:r>
        <w:t xml:space="preserve">Methodology included direct observation of laboratory procedures, blind sample testing, review of laboratory notebooks (digital and physical), and an interview regarding theoretical knowledge and problem-solving strategies.</w:t>
      </w:r>
    </w:p>
    <w:bookmarkEnd w:id="22"/>
    <w:bookmarkStart w:id="25" w:name="technical-competency-assessment"/>
    <w:p>
      <w:pPr>
        <w:pStyle w:val="Heading2"/>
      </w:pPr>
      <w:r>
        <w:t xml:space="preserve">3. Technical Competency Assessment</w:t>
      </w:r>
    </w:p>
    <w:bookmarkStart w:id="23" w:name="analytical-accuracy-and-precision"/>
    <w:p>
      <w:pPr>
        <w:pStyle w:val="Heading3"/>
      </w:pPr>
      <w:r>
        <w:t xml:space="preserve">3.1 Analytical Accuracy and Precision</w:t>
      </w:r>
    </w:p>
    <w:p>
      <w:pPr>
        <w:pStyle w:val="FirstParagraph"/>
      </w:pPr>
      <w:r>
        <w:t xml:space="preserve">The Chemist demonstrated exceptional skill in preparing standard solutions and managing calibration curves. During the blind sample tests, the results obtained by the Chemist showed a deviation of less than 2% from the certified reference values, which is well within the acceptable limits for our facility. The ability to troubleshoot instrument drift during high-volume analysis periods was particularly noteworthy.</w:t>
      </w:r>
    </w:p>
    <w:bookmarkEnd w:id="23"/>
    <w:bookmarkStart w:id="24" w:name="instrumentation-and-methodology"/>
    <w:p>
      <w:pPr>
        <w:pStyle w:val="Heading3"/>
      </w:pPr>
      <w:r>
        <w:t xml:space="preserve">3.2 Instrumentation and Methodology</w:t>
      </w:r>
    </w:p>
    <w:p>
      <w:pPr>
        <w:pStyle w:val="FirstParagraph"/>
      </w:pPr>
      <w:r>
        <w:t xml:space="preserve">Proficiency in operating high-performance liquid chromatography (HPLC) and gas chromatography (GC) systems was verified. The Chemist correctly followed the Standard Operating Procedures (SOPs) specific to our Bogotá laboratory. However, during the review of complex mass spectrometry data, there was a slight delay in identifying minor impurities, suggesting a need for further training in advanced spectral interpretation software.</w:t>
      </w:r>
    </w:p>
    <w:bookmarkEnd w:id="24"/>
    <w:bookmarkEnd w:id="25"/>
    <w:bookmarkStart w:id="26" w:name="Xe40bab728670905091659881b5d703af04a2bf0"/>
    <w:p>
      <w:pPr>
        <w:pStyle w:val="Heading2"/>
      </w:pPr>
      <w:r>
        <w:t xml:space="preserve">4. Regulatory Compliance and Safety (Colombia Context)</w:t>
      </w:r>
    </w:p>
    <w:p>
      <w:pPr>
        <w:pStyle w:val="FirstParagraph"/>
      </w:pPr>
      <w:r>
        <w:t xml:space="preserve">Adherence to safety protocols is paramount in the chemical industry. The Chemist strictly followed the guidelines established by the Colombian Ministry of Labor regarding occupational health and safety in laboratories.</w:t>
      </w:r>
    </w:p>
    <w:p>
      <w:pPr>
        <w:numPr>
          <w:ilvl w:val="0"/>
          <w:numId w:val="1002"/>
        </w:numPr>
        <w:pStyle w:val="Compact"/>
      </w:pPr>
      <w:r>
        <w:rPr>
          <w:bCs/>
          <w:b/>
        </w:rPr>
        <w:t xml:space="preserve">PPE Usage:</w:t>
      </w:r>
      <w:r>
        <w:t xml:space="preserve"> </w:t>
      </w:r>
      <w:r>
        <w:t xml:space="preserve">Consistent and correct usage of Personal Protective Equipment was observed at all times.</w:t>
      </w:r>
    </w:p>
    <w:p>
      <w:pPr>
        <w:numPr>
          <w:ilvl w:val="0"/>
          <w:numId w:val="1002"/>
        </w:numPr>
        <w:pStyle w:val="Compact"/>
      </w:pPr>
      <w:r>
        <w:rPr>
          <w:bCs/>
          <w:b/>
        </w:rPr>
        <w:t xml:space="preserve">Waste Management:</w:t>
      </w:r>
      <w:r>
        <w:t xml:space="preserve"> </w:t>
      </w:r>
      <w:r>
        <w:t xml:space="preserve">The segregation of chemical waste followed the local regulations of the Bogotá District Environmental Authority (Secretaría Distrital del Ambiente). The Chemist correctly labeled and stored hazardous byproducts for authorized disposal.</w:t>
      </w:r>
    </w:p>
    <w:p>
      <w:pPr>
        <w:numPr>
          <w:ilvl w:val="0"/>
          <w:numId w:val="1002"/>
        </w:numPr>
        <w:pStyle w:val="Compact"/>
      </w:pPr>
      <w:r>
        <w:rPr>
          <w:bCs/>
          <w:b/>
        </w:rPr>
        <w:t xml:space="preserve">Documentation:</w:t>
      </w:r>
      <w:r>
        <w:t xml:space="preserve"> </w:t>
      </w:r>
      <w:r>
        <w:t xml:space="preserve">All analytical records were maintained in accordance with Good Laboratory Practices (GLP), ensuring traceability and audit readiness.</w:t>
      </w:r>
    </w:p>
    <w:bookmarkEnd w:id="26"/>
    <w:bookmarkStart w:id="27" w:name="performance-metrics"/>
    <w:p>
      <w:pPr>
        <w:pStyle w:val="Heading2"/>
      </w:pPr>
      <w:r>
        <w:t xml:space="preserve">5.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Weight</w:t>
            </w:r>
          </w:p>
        </w:tc>
        <w:tc>
          <w:tcPr/>
          <w:p>
            <w:pPr>
              <w:pStyle w:val="Compact"/>
              <w:jc w:val="left"/>
            </w:pPr>
            <w:r>
              <w:t xml:space="preserve">Score (1-5)</w:t>
            </w:r>
          </w:p>
        </w:tc>
        <w:tc>
          <w:tcPr/>
          <w:p>
            <w:pPr>
              <w:pStyle w:val="Compact"/>
              <w:jc w:val="left"/>
            </w:pPr>
            <w:r>
              <w:t xml:space="preserve">Rating</w:t>
            </w:r>
          </w:p>
        </w:tc>
      </w:tr>
      <w:tr>
        <w:tc>
          <w:tcPr/>
          <w:p>
            <w:pPr>
              <w:pStyle w:val="Compact"/>
              <w:jc w:val="left"/>
            </w:pPr>
            <w:r>
              <w:t xml:space="preserve">Technical Accuracy</w:t>
            </w:r>
          </w:p>
        </w:tc>
        <w:tc>
          <w:tcPr/>
          <w:p>
            <w:pPr>
              <w:pStyle w:val="Compact"/>
              <w:jc w:val="left"/>
            </w:pPr>
            <w:r>
              <w:t xml:space="preserve">30%</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Safety &amp; Compliance</w:t>
            </w:r>
          </w:p>
        </w:tc>
        <w:tc>
          <w:tcPr/>
          <w:p>
            <w:pPr>
              <w:pStyle w:val="Compact"/>
              <w:jc w:val="left"/>
            </w:pPr>
            <w:r>
              <w:t xml:space="preserve">25%</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Instrument Maintenance</w:t>
            </w:r>
          </w:p>
        </w:tc>
        <w:tc>
          <w:tcPr/>
          <w:p>
            <w:pPr>
              <w:pStyle w:val="Compact"/>
              <w:jc w:val="left"/>
            </w:pPr>
            <w:r>
              <w:t xml:space="preserve">20%</w:t>
            </w:r>
          </w:p>
        </w:tc>
        <w:tc>
          <w:tcPr/>
          <w:p>
            <w:pPr>
              <w:pStyle w:val="Compact"/>
              <w:jc w:val="left"/>
            </w:pPr>
            <w:r>
              <w:t xml:space="preserve">4</w:t>
            </w:r>
          </w:p>
        </w:tc>
        <w:tc>
          <w:tcPr/>
          <w:p>
            <w:pPr>
              <w:pStyle w:val="Compact"/>
              <w:jc w:val="left"/>
            </w:pPr>
            <w:r>
              <w:t xml:space="preserve">Good</w:t>
            </w:r>
          </w:p>
        </w:tc>
      </w:tr>
      <w:tr>
        <w:tc>
          <w:tcPr/>
          <w:p>
            <w:pPr>
              <w:pStyle w:val="Compact"/>
              <w:jc w:val="left"/>
            </w:pPr>
            <w:r>
              <w:t xml:space="preserve">Data Interpretation</w:t>
            </w:r>
          </w:p>
        </w:tc>
        <w:tc>
          <w:tcPr/>
          <w:p>
            <w:pPr>
              <w:pStyle w:val="Compact"/>
              <w:jc w:val="left"/>
            </w:pPr>
            <w:r>
              <w:t xml:space="preserve">15%</w:t>
            </w:r>
          </w:p>
        </w:tc>
        <w:tc>
          <w:tcPr/>
          <w:p>
            <w:pPr>
              <w:pStyle w:val="Compact"/>
              <w:jc w:val="left"/>
            </w:pPr>
            <w:r>
              <w:t xml:space="preserve">3</w:t>
            </w:r>
          </w:p>
        </w:tc>
        <w:tc>
          <w:tcPr/>
          <w:p>
            <w:pPr>
              <w:pStyle w:val="Compact"/>
              <w:jc w:val="left"/>
            </w:pPr>
            <w:r>
              <w:t xml:space="preserve">Satisfactory</w:t>
            </w:r>
          </w:p>
        </w:tc>
      </w:tr>
      <w:tr>
        <w:tc>
          <w:tcPr/>
          <w:p>
            <w:pPr>
              <w:pStyle w:val="Compact"/>
              <w:jc w:val="left"/>
            </w:pPr>
            <w:r>
              <w:t xml:space="preserve">Team Collaboration</w:t>
            </w:r>
          </w:p>
        </w:tc>
        <w:tc>
          <w:tcPr/>
          <w:p>
            <w:pPr>
              <w:pStyle w:val="Compact"/>
              <w:jc w:val="left"/>
            </w:pPr>
            <w:r>
              <w:t xml:space="preserve">10%</w:t>
            </w:r>
          </w:p>
        </w:tc>
        <w:tc>
          <w:tcPr/>
          <w:p>
            <w:pPr>
              <w:pStyle w:val="Compact"/>
              <w:jc w:val="left"/>
            </w:pPr>
            <w:r>
              <w:t xml:space="preserve">5</w:t>
            </w:r>
          </w:p>
        </w:tc>
        <w:tc>
          <w:tcPr/>
          <w:p>
            <w:pPr>
              <w:pStyle w:val="Compact"/>
              <w:jc w:val="left"/>
            </w:pPr>
            <w:r>
              <w:t xml:space="preserve">Excellent</w:t>
            </w:r>
          </w:p>
        </w:tc>
      </w:tr>
    </w:tbl>
    <w:bookmarkEnd w:id="27"/>
    <w:bookmarkStart w:id="28" w:name="Xda79409093af40bd3d15ed7d2a5582dbca223f1"/>
    <w:p>
      <w:pPr>
        <w:pStyle w:val="Heading2"/>
      </w:pPr>
      <w:r>
        <w:t xml:space="preserve">6. Areas for Improvement and Recommendations</w:t>
      </w:r>
    </w:p>
    <w:p>
      <w:pPr>
        <w:pStyle w:val="FirstParagraph"/>
      </w:pPr>
      <w:r>
        <w:t xml:space="preserve">While the Chemist performs at a high level, the following recommendations are made to enhance professional development:</w:t>
      </w:r>
    </w:p>
    <w:p>
      <w:pPr>
        <w:numPr>
          <w:ilvl w:val="0"/>
          <w:numId w:val="1003"/>
        </w:numPr>
        <w:pStyle w:val="Compact"/>
      </w:pPr>
      <w:r>
        <w:rPr>
          <w:bCs/>
          <w:b/>
        </w:rPr>
        <w:t xml:space="preserve">Advanced Training:</w:t>
      </w:r>
      <w:r>
        <w:t xml:space="preserve"> </w:t>
      </w:r>
      <w:r>
        <w:t xml:space="preserve">It is recommended that the Chemist attend specialized workshops on advanced mass spectrometry interpretation, potentially offered by the National University of Colombia or international partners.</w:t>
      </w:r>
    </w:p>
    <w:p>
      <w:pPr>
        <w:numPr>
          <w:ilvl w:val="0"/>
          <w:numId w:val="1003"/>
        </w:numPr>
        <w:pStyle w:val="Compact"/>
      </w:pPr>
      <w:r>
        <w:rPr>
          <w:bCs/>
          <w:b/>
        </w:rPr>
        <w:t xml:space="preserve">Digital Proficiency:</w:t>
      </w:r>
      <w:r>
        <w:t xml:space="preserve"> </w:t>
      </w:r>
      <w:r>
        <w:t xml:space="preserve">Enhance skills in Laboratory Information Management Systems (LIMS) to improve data entry speed and reduce manual transcription errors.</w:t>
      </w:r>
    </w:p>
    <w:p>
      <w:pPr>
        <w:numPr>
          <w:ilvl w:val="0"/>
          <w:numId w:val="1003"/>
        </w:numPr>
        <w:pStyle w:val="Compact"/>
      </w:pPr>
      <w:r>
        <w:rPr>
          <w:bCs/>
          <w:b/>
        </w:rPr>
        <w:t xml:space="preserve">Regulatory Updates:</w:t>
      </w:r>
      <w:r>
        <w:t xml:space="preserve"> </w:t>
      </w:r>
      <w:r>
        <w:t xml:space="preserve">Stay updated on the latest decrees from the Colombian Ministry of Health regarding pharmaceutical and environmental testing standards to ensure the laboratory remains at the forefront of compliance.</w:t>
      </w:r>
    </w:p>
    <w:bookmarkEnd w:id="28"/>
    <w:bookmarkStart w:id="29" w:name="conclusion"/>
    <w:p>
      <w:pPr>
        <w:pStyle w:val="Heading2"/>
      </w:pPr>
      <w:r>
        <w:t xml:space="preserve">7. Conclusion</w:t>
      </w:r>
    </w:p>
    <w:p>
      <w:pPr>
        <w:pStyle w:val="FirstParagraph"/>
      </w:pPr>
      <w:r>
        <w:t xml:space="preserve">This Peer Review Report confirms that the Chemist is a valuable asset to the laboratory team in Bogotá. The individual demonstrates strong technical skills, a commitment to safety, and a thorough understanding of the regulatory landscape in Colombia. With the implementation of the recommended training modules, the Chemist is expected to achieve mastery in advanced data interpretation, further solidifying their role as a key contributor to our scientific objectives.</w:t>
      </w:r>
    </w:p>
    <w:p>
      <w:pPr>
        <w:pStyle w:val="BodyText"/>
      </w:pPr>
      <w:r>
        <w:t xml:space="preserve">Dr. Elena Rodriguez</w:t>
      </w:r>
      <w:r>
        <w:br/>
      </w:r>
      <w:r>
        <w:t xml:space="preserve">Senior Reviewer</w:t>
      </w:r>
      <w:r>
        <w:br/>
      </w:r>
      <w:r>
        <w:t xml:space="preserve">Date: 24/10/2023</w:t>
      </w:r>
    </w:p>
    <w:p>
      <w:pPr>
        <w:pStyle w:val="BodyText"/>
      </w:pPr>
      <w:r>
        <w:t xml:space="preserve">[Chemist Name]</w:t>
      </w:r>
      <w:r>
        <w:br/>
      </w:r>
      <w:r>
        <w:t xml:space="preserve">Reviewee</w:t>
      </w:r>
      <w:r>
        <w:br/>
      </w:r>
      <w:r>
        <w:t xml:space="preserve">Date: ____________</w:t>
      </w:r>
    </w:p>
    <w:p>
      <w:pPr>
        <w:pStyle w:val="BodyText"/>
      </w:pPr>
      <w:r>
        <w:t xml:space="preserve">Confidential Document - Internal Use Only. Generated for Peer Review purposes in Bogotá, Colombia.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Chemist Evaluation - Bogotá, Colombia</dc:title>
  <dc:creator/>
  <dc:language>en</dc:language>
  <cp:keywords/>
  <dcterms:created xsi:type="dcterms:W3CDTF">2026-10-10T08:09:27Z</dcterms:created>
  <dcterms:modified xsi:type="dcterms:W3CDTF">2026-10-10T08:09:27Z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