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Evaluation</w:t>
      </w:r>
      <w:r>
        <w:t xml:space="preserve"> </w:t>
      </w:r>
      <w:r>
        <w:t xml:space="preserve">-</w:t>
      </w:r>
      <w:r>
        <w:t xml:space="preserve"> </w:t>
      </w:r>
      <w:r>
        <w:t xml:space="preserve">Nairobi,</w:t>
      </w:r>
      <w:r>
        <w:t xml:space="preserve"> </w:t>
      </w:r>
      <w:r>
        <w:t xml:space="preserve">Kenya</w:t>
      </w:r>
    </w:p>
    <w:bookmarkStart w:id="29" w:name="Xd16a664751c5b93b251ba3e17c5324196416585"/>
    <w:p>
      <w:pPr>
        <w:pStyle w:val="Heading1"/>
      </w:pPr>
      <w:r>
        <w:t xml:space="preserve">Peer Review Report: Professional Chemist Evaluation</w:t>
      </w:r>
    </w:p>
    <w:p>
      <w:pPr>
        <w:pStyle w:val="FirstParagraph"/>
      </w:pPr>
      <w:r>
        <w:t xml:space="preserve">Subject:</w:t>
      </w:r>
      <w:r>
        <w:t xml:space="preserve"> </w:t>
      </w:r>
      <w:r>
        <w:t xml:space="preserve">Professional Competency Review</w:t>
      </w:r>
    </w:p>
    <w:p>
      <w:pPr>
        <w:pStyle w:val="BodyText"/>
      </w:pPr>
      <w:r>
        <w:t xml:space="preserve">Role:</w:t>
      </w:r>
      <w:r>
        <w:t xml:space="preserve"> </w:t>
      </w:r>
      <w:r>
        <w:t xml:space="preserve">Registered Chemist</w:t>
      </w:r>
    </w:p>
    <w:p>
      <w:pPr>
        <w:pStyle w:val="BodyText"/>
      </w:pPr>
      <w:r>
        <w:t xml:space="preserve">Location:</w:t>
      </w:r>
      <w:r>
        <w:t xml:space="preserve"> </w:t>
      </w:r>
      <w:r>
        <w:t xml:space="preserve">Nairobi, Kenya</w:t>
      </w:r>
    </w:p>
    <w:p>
      <w:pPr>
        <w:pStyle w:val="BodyText"/>
      </w:pPr>
      <w:r>
        <w:t xml:space="preserve">Date of Review:</w:t>
      </w:r>
      <w:r>
        <w:t xml:space="preserve"> </w:t>
      </w:r>
      <w:r>
        <w:t xml:space="preserve">October 24, 2023</w:t>
      </w:r>
    </w:p>
    <w:p>
      <w:pPr>
        <w:pStyle w:val="BodyText"/>
      </w:pPr>
      <w:r>
        <w:t xml:space="preserve">Reviewing Body:</w:t>
      </w:r>
      <w:r>
        <w:t xml:space="preserve"> </w:t>
      </w:r>
      <w:r>
        <w:t xml:space="preserve">Nairobi Pharmaceutical &amp; Chemical Professionals Association</w:t>
      </w:r>
    </w:p>
    <w:p>
      <w:pPr>
        <w:pStyle w:val="BodyText"/>
      </w:pPr>
      <w:r>
        <w:t xml:space="preserve">Reference Number:</w:t>
      </w:r>
      <w:r>
        <w:t xml:space="preserve"> </w:t>
      </w:r>
      <w:r>
        <w:t xml:space="preserve">NCPA-2023-CHEM-089</w:t>
      </w:r>
    </w:p>
    <w:p>
      <w:pPr>
        <w:pStyle w:val="BodyText"/>
      </w:pPr>
      <w:r>
        <w:t xml:space="preserve">Regulatory Framework:</w:t>
      </w:r>
      <w:r>
        <w:t xml:space="preserve"> </w:t>
      </w:r>
      <w:r>
        <w:t xml:space="preserve">Pharmacy and Poisons Board (PPB) Standards</w:t>
      </w:r>
    </w:p>
    <w:bookmarkStart w:id="20" w:name="executive-summary"/>
    <w:p>
      <w:pPr>
        <w:pStyle w:val="Heading2"/>
      </w:pPr>
      <w:r>
        <w:t xml:space="preserve">1. Executive Summary</w:t>
      </w:r>
    </w:p>
    <w:p>
      <w:pPr>
        <w:pStyle w:val="FirstParagraph"/>
      </w:pPr>
      <w:r>
        <w:t xml:space="preserve">This Peer Review Report has been compiled to assess the professional standing, technical competency, and ethical adherence of a practicing Chemist within the Nairobi metropolitan area. The review is conducted in strict accordance with the guidelines set forth by the Pharmacy and Poisons Board of Kenya and the local professional standards for chemical practitioners in Nairobi. The objective is to ensure that the Chemist maintains the highest level of safety, accuracy, and regulatory compliance required for handling pharmaceutical and industrial chemicals in a bustling urban environment like Nairobi.</w:t>
      </w:r>
    </w:p>
    <w:p>
      <w:pPr>
        <w:pStyle w:val="BodyText"/>
      </w:pPr>
      <w:r>
        <w:t xml:space="preserve">The evaluation covers laboratory management, chemical safety protocols, regulatory compliance with Kenyan law, and professional conduct. The findings indicate a generally high standard of practice, with specific recommendations for improvement regarding digital record-keeping and waste disposal logistics in line with the National Environment Management Authority (NEMA) regulations.</w:t>
      </w:r>
    </w:p>
    <w:bookmarkEnd w:id="20"/>
    <w:bookmarkStart w:id="21" w:name="scope-of-the-review"/>
    <w:p>
      <w:pPr>
        <w:pStyle w:val="Heading2"/>
      </w:pPr>
      <w:r>
        <w:t xml:space="preserve">2. Scope of the Review</w:t>
      </w:r>
    </w:p>
    <w:p>
      <w:pPr>
        <w:pStyle w:val="FirstParagraph"/>
      </w:pPr>
      <w:r>
        <w:t xml:space="preserve">The scope of this Peer Review Report encompasses the Chemist's activities over the preceding twelve months. The review focuses on the following key areas relevant to the practice of chemistry in Kenya:</w:t>
      </w:r>
    </w:p>
    <w:p>
      <w:pPr>
        <w:numPr>
          <w:ilvl w:val="0"/>
          <w:numId w:val="1001"/>
        </w:numPr>
        <w:pStyle w:val="Compact"/>
      </w:pPr>
      <w:r>
        <w:rPr>
          <w:bCs/>
          <w:b/>
        </w:rPr>
        <w:t xml:space="preserve">Regulatory Compliance:</w:t>
      </w:r>
      <w:r>
        <w:t xml:space="preserve"> </w:t>
      </w:r>
      <w:r>
        <w:t xml:space="preserve">Adherence to the Pharmacy and Poisons Act and local Nairobi County health regulations.</w:t>
      </w:r>
    </w:p>
    <w:p>
      <w:pPr>
        <w:numPr>
          <w:ilvl w:val="0"/>
          <w:numId w:val="1001"/>
        </w:numPr>
        <w:pStyle w:val="Compact"/>
      </w:pPr>
      <w:r>
        <w:rPr>
          <w:bCs/>
          <w:b/>
        </w:rPr>
        <w:t xml:space="preserve">Laboratory Safety:</w:t>
      </w:r>
      <w:r>
        <w:t xml:space="preserve"> </w:t>
      </w:r>
      <w:r>
        <w:t xml:space="preserve">Implementation of safety protocols for hazardous substances.</w:t>
      </w:r>
    </w:p>
    <w:p>
      <w:pPr>
        <w:numPr>
          <w:ilvl w:val="0"/>
          <w:numId w:val="1001"/>
        </w:numPr>
        <w:pStyle w:val="Compact"/>
      </w:pPr>
      <w:r>
        <w:rPr>
          <w:bCs/>
          <w:b/>
        </w:rPr>
        <w:t xml:space="preserve">Quality Assurance:</w:t>
      </w:r>
      <w:r>
        <w:t xml:space="preserve"> </w:t>
      </w:r>
      <w:r>
        <w:t xml:space="preserve">Accuracy of chemical analysis and formulation processes.</w:t>
      </w:r>
    </w:p>
    <w:p>
      <w:pPr>
        <w:numPr>
          <w:ilvl w:val="0"/>
          <w:numId w:val="1001"/>
        </w:numPr>
        <w:pStyle w:val="Compact"/>
      </w:pPr>
      <w:r>
        <w:rPr>
          <w:bCs/>
          <w:b/>
        </w:rPr>
        <w:t xml:space="preserve">Professional Ethics:</w:t>
      </w:r>
      <w:r>
        <w:t xml:space="preserve"> </w:t>
      </w:r>
      <w:r>
        <w:t xml:space="preserve">Integrity in reporting and interaction with clients and regulatory bodies.</w:t>
      </w:r>
    </w:p>
    <w:bookmarkEnd w:id="21"/>
    <w:bookmarkStart w:id="26" w:name="detailed-assessment"/>
    <w:p>
      <w:pPr>
        <w:pStyle w:val="Heading2"/>
      </w:pPr>
      <w:r>
        <w:t xml:space="preserve">3. Detailed Assessment</w:t>
      </w:r>
    </w:p>
    <w:bookmarkStart w:id="22" w:name="regulatory-compliance-and-licensing"/>
    <w:p>
      <w:pPr>
        <w:pStyle w:val="Heading3"/>
      </w:pPr>
      <w:r>
        <w:t xml:space="preserve">3.1 Regulatory Compliance and Licensing</w:t>
      </w:r>
    </w:p>
    <w:p>
      <w:pPr>
        <w:pStyle w:val="FirstParagraph"/>
      </w:pPr>
      <w:r>
        <w:t xml:space="preserve">The Chemist holds a valid practicing license issued by the Pharmacy and Poisons Board (PPB) of Kenya. During the review, documentation was verified to ensure that the license is current and that the scope of practice aligns with the registered category. The facility in Nairobi is fully compliant with the zoning laws and health permits required by the Nairobi City County Government. The Chemist demonstrates a thorough understanding of the legal requirements for the storage and dispensing of controlled substances, a critical aspect of chemical practice in Kenya.</w:t>
      </w:r>
    </w:p>
    <w:bookmarkEnd w:id="22"/>
    <w:bookmarkStart w:id="23" w:name="Xf9cc7f68bb9d48550544614bc4856d026a38d46"/>
    <w:p>
      <w:pPr>
        <w:pStyle w:val="Heading3"/>
      </w:pPr>
      <w:r>
        <w:t xml:space="preserve">3.2 Laboratory Operations and Safety Protocols</w:t>
      </w:r>
    </w:p>
    <w:p>
      <w:pPr>
        <w:pStyle w:val="FirstParagraph"/>
      </w:pPr>
      <w:r>
        <w:t xml:space="preserve">A physical inspection of the laboratory premises was conducted. The Chemist has implemented robust safety measures, including the proper labeling of all chemical containers in accordance with the Globally Harmonized System (GHS). Personal Protective Equipment (PPE) is readily available and utilized by all staff. The review noted that the ventilation systems are adequate for the volume of work being processed. However, the review team observed that the spill containment kits require more frequent replenishment to meet the rigorous safety standards expected of a professional Chemist in a high-traffic area like Nairobi.</w:t>
      </w:r>
    </w:p>
    <w:bookmarkEnd w:id="23"/>
    <w:bookmarkStart w:id="24" w:name="Xd42de6cd85291e98d0421ce6ab07bc87c34b5d5"/>
    <w:p>
      <w:pPr>
        <w:pStyle w:val="Heading3"/>
      </w:pPr>
      <w:r>
        <w:t xml:space="preserve">3.3 Quality Assurance and Technical Competency</w:t>
      </w:r>
    </w:p>
    <w:p>
      <w:pPr>
        <w:pStyle w:val="FirstParagraph"/>
      </w:pPr>
      <w:r>
        <w:t xml:space="preserve">The technical records of the Chemist were audited to assess the accuracy of chemical analyses. The documentation shows a consistent application of Standard Operating Procedures (SOPs). The Chemist utilizes calibrated equipment and maintains a rigorous schedule for maintenance and verification. The review confirms that the Chemist is capable of performing complex chemical assays with a high degree of precision. This level of technical proficiency is essential for maintaining public trust and ensuring the efficacy of chemical products distributed within the Nairobi region.</w:t>
      </w:r>
    </w:p>
    <w:bookmarkEnd w:id="24"/>
    <w:bookmarkStart w:id="25" w:name="environmental-stewardship"/>
    <w:p>
      <w:pPr>
        <w:pStyle w:val="Heading3"/>
      </w:pPr>
      <w:r>
        <w:t xml:space="preserve">3.4 Environmental Stewardship</w:t>
      </w:r>
    </w:p>
    <w:p>
      <w:pPr>
        <w:pStyle w:val="FirstParagraph"/>
      </w:pPr>
      <w:r>
        <w:t xml:space="preserve">Given the environmental sensitivities in Kenya, the management of chemical waste is a critical component of this Peer Review Report. The Chemist has established a partnership with a NEMA-approved waste disposal contractor. Records indicate regular disposal of hazardous waste. However, the review recommends a more detailed segregation process for organic versus inorganic waste to further minimize environmental impact and align with global best practices for chemical management.</w:t>
      </w:r>
    </w:p>
    <w:bookmarkEnd w:id="25"/>
    <w:bookmarkEnd w:id="26"/>
    <w:bookmarkStart w:id="27" w:name="areas-for-improvement"/>
    <w:p>
      <w:pPr>
        <w:pStyle w:val="Heading2"/>
      </w:pPr>
      <w:r>
        <w:t xml:space="preserve">4. Areas for Improvement</w:t>
      </w:r>
    </w:p>
    <w:p>
      <w:pPr>
        <w:pStyle w:val="FirstParagraph"/>
      </w:pPr>
      <w:r>
        <w:t xml:space="preserve">While the Chemist demonstrates strong professional capabilities, the following areas require attention to ensure continued excellence: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Concern</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Waste Disposal Segregation</w:t>
            </w:r>
          </w:p>
        </w:tc>
        <w:tc>
          <w:tcPr/>
          <w:p>
            <w:pPr>
              <w:pStyle w:val="Compact"/>
              <w:jc w:val="left"/>
            </w:pPr>
            <w:r>
              <w:t xml:space="preserve">Implement stricter segregation protocols for chemical waste streams.</w:t>
            </w:r>
          </w:p>
        </w:tc>
        <w:tc>
          <w:tcPr/>
          <w:p>
            <w:pPr>
              <w:pStyle w:val="Compact"/>
              <w:jc w:val="left"/>
            </w:pPr>
            <w:r>
              <w:t xml:space="preserve">High</w:t>
            </w:r>
          </w:p>
        </w:tc>
      </w:tr>
      <w:tr>
        <w:tc>
          <w:tcPr/>
          <w:p>
            <w:pPr>
              <w:pStyle w:val="Compact"/>
              <w:jc w:val="left"/>
            </w:pPr>
            <w:r>
              <w:t xml:space="preserve">Digital Record Keeping</w:t>
            </w:r>
          </w:p>
        </w:tc>
        <w:tc>
          <w:tcPr/>
          <w:p>
            <w:pPr>
              <w:pStyle w:val="Compact"/>
              <w:jc w:val="left"/>
            </w:pPr>
            <w:r>
              <w:t xml:space="preserve">Transition from manual logs to a digital Laboratory Information Management System (LIMS).</w:t>
            </w:r>
          </w:p>
        </w:tc>
        <w:tc>
          <w:tcPr/>
          <w:p>
            <w:pPr>
              <w:pStyle w:val="Compact"/>
              <w:jc w:val="left"/>
            </w:pPr>
            <w:r>
              <w:t xml:space="preserve">Medium</w:t>
            </w:r>
          </w:p>
        </w:tc>
      </w:tr>
      <w:tr>
        <w:tc>
          <w:tcPr/>
          <w:p>
            <w:pPr>
              <w:pStyle w:val="Compact"/>
              <w:jc w:val="left"/>
            </w:pPr>
            <w:r>
              <w:t xml:space="preserve">Staff Training</w:t>
            </w:r>
          </w:p>
        </w:tc>
        <w:tc>
          <w:tcPr/>
          <w:p>
            <w:pPr>
              <w:pStyle w:val="Compact"/>
              <w:jc w:val="left"/>
            </w:pPr>
            <w:r>
              <w:t xml:space="preserve">Conduct quarterly refresher courses on emergency response and chemical safety.</w:t>
            </w:r>
          </w:p>
        </w:tc>
        <w:tc>
          <w:tcPr/>
          <w:p>
            <w:pPr>
              <w:pStyle w:val="Compact"/>
              <w:jc w:val="left"/>
            </w:pPr>
            <w:r>
              <w:t xml:space="preserve">Medium</w:t>
            </w:r>
          </w:p>
        </w:tc>
      </w:tr>
    </w:tbl>
    <w:bookmarkEnd w:id="27"/>
    <w:bookmarkStart w:id="28" w:name="conclusion"/>
    <w:p>
      <w:pPr>
        <w:pStyle w:val="Heading2"/>
      </w:pPr>
      <w:r>
        <w:t xml:space="preserve">5. Conclusion</w:t>
      </w:r>
    </w:p>
    <w:p>
      <w:pPr>
        <w:pStyle w:val="FirstParagraph"/>
      </w:pPr>
      <w:r>
        <w:t xml:space="preserve">Based on the comprehensive evaluation detailed in this Peer Review Report, the Chemist is deemed competent and fit to continue practice in Nairobi, Kenya. The professional demonstrates a strong commitment to safety, regulatory compliance, and technical excellence. The recommendations provided are intended to support continuous improvement and ensure that the Chemist remains at the forefront of professional standards within the Kenyan chemical and pharmaceutical sector.</w:t>
      </w:r>
    </w:p>
    <w:p>
      <w:pPr>
        <w:pStyle w:val="BodyText"/>
      </w:pPr>
      <w:r>
        <w:t xml:space="preserve">This report serves as an official record of the peer review process and should be retained by the Chemist for future reference and regulatory audits.</w:t>
      </w:r>
    </w:p>
    <w:p>
      <w:pPr>
        <w:pStyle w:val="BodyText"/>
      </w:pPr>
      <w:r>
        <w:rPr>
          <w:bCs/>
          <w:b/>
        </w:rPr>
        <w:t xml:space="preserve">Lead Reviewer Signature:</w:t>
      </w:r>
    </w:p>
    <w:p>
      <w:pPr>
        <w:pStyle w:val="BodyText"/>
      </w:pPr>
      <w:r>
        <w:t xml:space="preserve">Dr. A. Kamau, PhD</w:t>
      </w:r>
    </w:p>
    <w:p>
      <w:pPr>
        <w:pStyle w:val="BodyText"/>
      </w:pPr>
      <w:r>
        <w:t xml:space="preserve">Senior Chemist &amp; Reviewer</w:t>
      </w:r>
    </w:p>
    <w:p>
      <w:pPr>
        <w:pStyle w:val="BodyText"/>
      </w:pPr>
      <w:r>
        <w:rPr>
          <w:bCs/>
          <w:b/>
        </w:rPr>
        <w:t xml:space="preserve">Subject Chemist Signature:</w:t>
      </w:r>
    </w:p>
    <w:p>
      <w:pPr>
        <w:pStyle w:val="BodyText"/>
      </w:pPr>
      <w:r>
        <w:t xml:space="preserve">[Name of Chemist]</w:t>
      </w:r>
    </w:p>
    <w:p>
      <w:pPr>
        <w:pStyle w:val="BodyText"/>
      </w:pPr>
      <w:r>
        <w:t xml:space="preserve">Registered Chemist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Evaluation - Nairobi, Kenya</dc:title>
  <dc:creator/>
  <dc:language>en</dc:language>
  <cp:keywords/>
  <dcterms:created xsi:type="dcterms:W3CDTF">2026-10-10T08:06:30Z</dcterms:created>
  <dcterms:modified xsi:type="dcterms:W3CDTF">2026-10-10T08:06:30Z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