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Assessment of a Registered Chemist</w:t>
      </w:r>
    </w:p>
    <w:p>
      <w:pPr>
        <w:pStyle w:val="BodyText"/>
      </w:pPr>
      <w:r>
        <w:rPr>
          <w:bCs/>
          <w:b/>
        </w:rPr>
        <w:t xml:space="preserve">Location:</w:t>
      </w:r>
      <w:r>
        <w:t xml:space="preserve"> </w:t>
      </w:r>
      <w:r>
        <w:t xml:space="preserve">Kuala Lumpur, Malaysia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Pharmacy Board of Malaysia (Majlis Farmasi Malaysia) and the Malaysian Society of Pharmacy (MSP). The objective of this review is to evaluate the professional competence, ethical conduct, and operational compliance of a practicing Chemist within the bustling healthcare landscape of Kuala Lumpur.</w:t>
      </w:r>
    </w:p>
    <w:p>
      <w:pPr>
        <w:pStyle w:val="BodyText"/>
      </w:pPr>
      <w:r>
        <w:t xml:space="preserve">Kuala Lumpur, as the federal capital and economic hub of Malaysia, presents a unique environment for pharmaceutical practice. The city is characterized by a high density of healthcare facilities, ranging from public hospitals under the Ministry of Health (MOH) to private specialty clinics and community pharmacies. This report specifically assesses the Chemist's ability to navigate the complex regulatory framework of Malaysia while delivering high-quality pharmaceutical care to a diverse, multicultural patient population.</w:t>
      </w:r>
    </w:p>
    <w:bookmarkEnd w:id="21"/>
    <w:bookmarkStart w:id="22" w:name="regulatory-compliance-and-licensure"/>
    <w:p>
      <w:pPr>
        <w:pStyle w:val="Heading2"/>
      </w:pPr>
      <w:r>
        <w:t xml:space="preserve">2. Regulatory Compliance and Licensure</w:t>
      </w:r>
    </w:p>
    <w:p>
      <w:pPr>
        <w:pStyle w:val="FirstParagraph"/>
      </w:pPr>
      <w:r>
        <w:t xml:space="preserve">The primary focus of this review was to verify the Chemist's adherence to the Pharmacy Act 1951 and the Poisons Act 1952. The review confirms that the subject holds a valid practicing certificate issued by the Pharmacy Board of Malaysia. Furthermore, the establishment in Kuala Lumpur where the Chemist operates possesses a valid license under the Poisons Act, ensuring that the storage, handling, and dispensing of controlled substances meet national safety standards.</w:t>
      </w:r>
    </w:p>
    <w:p>
      <w:pPr>
        <w:pStyle w:val="BodyText"/>
      </w:pPr>
      <w:r>
        <w:t xml:space="preserve">Special attention was given to the handling of Schedule 8 and Schedule 9 poisons, which are strictly regulated in Malaysia. The Chemist demonstrated rigorous record-keeping practices, maintaining accurate registers that are readily available for inspection by the Drug Control Authority. This level of compliance is critical in Kuala Lumpur, where regulatory audits are frequent due to the high volume of pharmaceutical transactions.</w:t>
      </w:r>
    </w:p>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evaluates the clinical skills of the Chemist. In the context of Kuala Lumpur's modern healthcare system, the role of a Chemist has evolved beyond mere dispensing to include active patient counseling and medication therapy management. The review observed several patient interactions, noting the Chemist's proficiency in explaining dosage regimens, potential side effects, and drug interactions in both English and Bahasa Malaysia, reflecting the linguistic diversity of the city.</w:t>
      </w:r>
    </w:p>
    <w:p>
      <w:pPr>
        <w:pStyle w:val="BodyText"/>
      </w:pPr>
      <w:r>
        <w:t xml:space="preserve">The Chemist demonstrated a strong understanding of the National Essential Medicines List (NEML) and was able to provide appropriate therapeutic alternatives when necessary. Furthermore, the Chemist showed competence in managing chronic conditions prevalent in Malaysia, such as diabetes mellitus and hypertension, by providing lifestyle advice and monitoring adherence. This proactive approach aligns with the Ministry of Health's initiatives to reduce the burden of non-communicable diseases in urban centers like Kuala Lumpur.</w:t>
      </w:r>
    </w:p>
    <w:bookmarkEnd w:id="23"/>
    <w:bookmarkStart w:id="24" w:name="Xafdcb1bc347f9331da400d794725fcfb94db659"/>
    <w:p>
      <w:pPr>
        <w:pStyle w:val="Heading2"/>
      </w:pPr>
      <w:r>
        <w:t xml:space="preserve">4. Operational Standards and Inventory Management</w:t>
      </w:r>
    </w:p>
    <w:p>
      <w:pPr>
        <w:pStyle w:val="FirstParagraph"/>
      </w:pPr>
      <w:r>
        <w:t xml:space="preserve">Efficient inventory management is vital for a Chemist operating in a high-demand market like Kuala Lumpur. The review assessed the pharmacy's stock control systems, ensuring that there is no stockpiling of expired medications and that cold chain integrity is maintained for temperature-sensitive products. The Chemist utilizes a computerized inventory system that tracks batch numbers and expiry dates, minimizing the risk of dispensing substandard products.</w:t>
      </w:r>
    </w:p>
    <w:p>
      <w:pPr>
        <w:pStyle w:val="BodyText"/>
      </w:pPr>
      <w:r>
        <w:t xml:space="preserve">Additionally, the review examined the procurement processes. It was confirmed that all pharmaceutical products are sourced from licensed wholesalers and manufacturers approved by the National Pharmaceutical Regulatory Agency (NPRA). This ensures that the supply chain is transparent and that counterfeit drugs, a concern in the broader region, are effectively excluded from the practice.</w:t>
      </w:r>
    </w:p>
    <w:bookmarkEnd w:id="24"/>
    <w:bookmarkStart w:id="25" w:name="X7a95f4ca61e8149f5cef7f00fe5924b4356828e"/>
    <w:p>
      <w:pPr>
        <w:pStyle w:val="Heading2"/>
      </w:pPr>
      <w:r>
        <w:t xml:space="preserve">5. Professional Ethics and Continuing Education</w:t>
      </w:r>
    </w:p>
    <w:p>
      <w:pPr>
        <w:pStyle w:val="FirstParagraph"/>
      </w:pPr>
      <w:r>
        <w:t xml:space="preserve">Adherence to the Code of Ethics for Pharmacists is a fundamental requirement for any Chemist in Malaysia. The review found that the Chemist maintains patient confidentiality and avoids conflicts of interest, particularly in the promotion of pharmaceutical products. The Chemist prioritizes patient welfare over commercial gain, a principle that is essential for maintaining public trust in the healthcare system of Kuala Lumpur.</w:t>
      </w:r>
    </w:p>
    <w:p>
      <w:pPr>
        <w:pStyle w:val="BodyText"/>
      </w:pPr>
      <w:r>
        <w:t xml:space="preserve">Furthermore, the Chemist is actively engaged in Continuing Professional Development (CPD). The review verified that the Chemist has completed the required CPD points as mandated by the Pharmacy Board of Malaysia. This includes attending workshops on new drug therapies, regulatory updates, and patient communication skills. This commitment to lifelong learning ensures that the Chemist remains current with the rapidly evolving pharmaceutical landscape in Malaysia.</w:t>
      </w:r>
    </w:p>
    <w:bookmarkEnd w:id="25"/>
    <w:bookmarkStart w:id="26" w:name="conclusion-and-recommendations"/>
    <w:p>
      <w:pPr>
        <w:pStyle w:val="Heading2"/>
      </w:pPr>
      <w:r>
        <w:t xml:space="preserve">6. Conclusion and Recommendations</w:t>
      </w:r>
    </w:p>
    <w:p>
      <w:pPr>
        <w:pStyle w:val="FirstParagraph"/>
      </w:pPr>
      <w:r>
        <w:t xml:space="preserve">Based on the comprehensive assessment conducted, this Peer Review Report concludes that the Chemist demonstrates a high level of professional competence, regulatory compliance, and ethical conduct. The Chemist is well-equipped to serve the healthcare needs of the community in Kuala Lumpur, adhering to the standards expected by the Pharmacy Board of Malaysia.</w:t>
      </w:r>
    </w:p>
    <w:p>
      <w:pPr>
        <w:pStyle w:val="BodyText"/>
      </w:pPr>
      <w:r>
        <w:rPr>
          <w:bCs/>
          <w:b/>
        </w:rPr>
        <w:t xml:space="preserve">Recommendations:</w:t>
      </w:r>
    </w:p>
    <w:p>
      <w:pPr>
        <w:numPr>
          <w:ilvl w:val="0"/>
          <w:numId w:val="1001"/>
        </w:numPr>
        <w:pStyle w:val="Compact"/>
      </w:pPr>
      <w:r>
        <w:t xml:space="preserve">Continue to engage in CPD activities, particularly those focused on digital health tools and telepharmacy, which are becoming increasingly relevant in urban Malaysia.</w:t>
      </w:r>
    </w:p>
    <w:p>
      <w:pPr>
        <w:numPr>
          <w:ilvl w:val="0"/>
          <w:numId w:val="1001"/>
        </w:numPr>
        <w:pStyle w:val="Compact"/>
      </w:pPr>
      <w:r>
        <w:t xml:space="preserve">Enhance patient education materials to include more multilingual resources to better serve the diverse demographic of Kuala Lumpur.</w:t>
      </w:r>
    </w:p>
    <w:p>
      <w:pPr>
        <w:numPr>
          <w:ilvl w:val="0"/>
          <w:numId w:val="1001"/>
        </w:numPr>
        <w:pStyle w:val="Compact"/>
      </w:pPr>
      <w:r>
        <w:t xml:space="preserve">Maintain rigorous documentation practices to ensure ongoing compliance with the Poisons Act and Pharmacy Act.</w:t>
      </w:r>
    </w:p>
    <w:bookmarkEnd w:id="26"/>
    <w:p>
      <w:pPr>
        <w:pStyle w:val="FirstParagraph"/>
      </w:pPr>
      <w:r>
        <w:rPr>
          <w:bCs/>
          <w:b/>
        </w:rPr>
        <w:t xml:space="preserve">Reviewed by:</w:t>
      </w:r>
    </w:p>
    <w:p>
      <w:pPr>
        <w:pStyle w:val="BodyText"/>
      </w:pPr>
      <w:r>
        <w:t xml:space="preserve">Dr. A. Rahman, PharmD</w:t>
      </w:r>
    </w:p>
    <w:p>
      <w:pPr>
        <w:pStyle w:val="BodyText"/>
      </w:pPr>
      <w:r>
        <w:t xml:space="preserve">Senior Peer Reviewer</w:t>
      </w:r>
    </w:p>
    <w:p>
      <w:pPr>
        <w:pStyle w:val="BodyText"/>
      </w:pPr>
      <w:r>
        <w:t xml:space="preserve">Pharmacy Board of Malaysia Accredited Reviewer</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Kuala Lumpur, Malaysia</dc:title>
  <dc:creator/>
  <dc:language>en</dc:language>
  <cp:keywords/>
  <dcterms:created xsi:type="dcterms:W3CDTF">2026-10-10T08:50:13Z</dcterms:created>
  <dcterms:modified xsi:type="dcterms:W3CDTF">2026-10-10T08:50:13Z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