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Petrova, Senior Research Chemist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technical expertise of a Chemist working in Russia Saint Petersburg. The purpose of this review is to provide an objective assessment of the Chemist's work within the context of the local scientific community, regulatory environment, and institutional standards. The review focuses on key areas such as research quality, laboratory practices, collaboration, and adherence to safety protocols.</w:t>
      </w:r>
    </w:p>
    <w:bookmarkEnd w:id="21"/>
    <w:bookmarkStart w:id="22" w:name="background-information"/>
    <w:p>
      <w:pPr>
        <w:pStyle w:val="Heading2"/>
      </w:pPr>
      <w:r>
        <w:t xml:space="preserve">2. Background Information</w:t>
      </w:r>
    </w:p>
    <w:p>
      <w:pPr>
        <w:pStyle w:val="FirstParagraph"/>
      </w:pPr>
      <w:r>
        <w:t xml:space="preserve">The Chemist under review is employed at a leading research institution in Russia Saint Petersburg, specializing in analytical chemistry and materials science. The institution is known for its contributions to pharmaceutical research, environmental monitoring, and industrial applications. The Chemist has been actively involved in several high-impact projects, including the development of novel catalysts and the analysis of water quality in the Neva River basin.</w:t>
      </w:r>
    </w:p>
    <w:p>
      <w:pPr>
        <w:pStyle w:val="BodyText"/>
      </w:pPr>
      <w:r>
        <w:t xml:space="preserve">Russia Saint Petersburg is a hub for scientific innovation, with a rich history of chemical research dating back to the 19th century. The city's academic and industrial landscape provides a unique environment for chemists to collaborate and advance their work. This review takes into account the specific challenges and opportunities presented by this location, including access to state-of-the-art facilities and the need to comply with Russian regulatory standards.</w:t>
      </w:r>
    </w:p>
    <w:bookmarkEnd w:id="22"/>
    <w:bookmarkStart w:id="23" w:name="evaluation-criteria"/>
    <w:p>
      <w:pPr>
        <w:pStyle w:val="Heading2"/>
      </w:pPr>
      <w:r>
        <w:t xml:space="preserve">3. Evaluation Criteria</w:t>
      </w:r>
    </w:p>
    <w:p>
      <w:pPr>
        <w:pStyle w:val="FirstParagraph"/>
      </w:pPr>
      <w:r>
        <w:t xml:space="preserve">The evaluation of the Chemist's performance is based on the following criteria:</w:t>
      </w:r>
    </w:p>
    <w:p>
      <w:pPr>
        <w:numPr>
          <w:ilvl w:val="0"/>
          <w:numId w:val="1001"/>
        </w:numPr>
        <w:pStyle w:val="Compact"/>
      </w:pPr>
      <w:r>
        <w:rPr>
          <w:bCs/>
          <w:b/>
        </w:rPr>
        <w:t xml:space="preserve">Research Quality:</w:t>
      </w:r>
      <w:r>
        <w:t xml:space="preserve"> </w:t>
      </w:r>
      <w:r>
        <w:t xml:space="preserve">Originality, significance, and rigor of research outputs.</w:t>
      </w:r>
    </w:p>
    <w:p>
      <w:pPr>
        <w:numPr>
          <w:ilvl w:val="0"/>
          <w:numId w:val="1001"/>
        </w:numPr>
        <w:pStyle w:val="Compact"/>
      </w:pPr>
      <w:r>
        <w:rPr>
          <w:bCs/>
          <w:b/>
        </w:rPr>
        <w:t xml:space="preserve">Technical Expertise:</w:t>
      </w:r>
      <w:r>
        <w:t xml:space="preserve"> </w:t>
      </w:r>
      <w:r>
        <w:t xml:space="preserve">Proficiency in laboratory techniques and analytical methods.</w:t>
      </w:r>
    </w:p>
    <w:p>
      <w:pPr>
        <w:numPr>
          <w:ilvl w:val="0"/>
          <w:numId w:val="1001"/>
        </w:numPr>
        <w:pStyle w:val="Compact"/>
      </w:pPr>
      <w:r>
        <w:rPr>
          <w:bCs/>
          <w:b/>
        </w:rPr>
        <w:t xml:space="preserve">Collaboration:</w:t>
      </w:r>
      <w:r>
        <w:t xml:space="preserve"> </w:t>
      </w:r>
      <w:r>
        <w:t xml:space="preserve">Ability to work effectively with colleagues and external partners.</w:t>
      </w:r>
    </w:p>
    <w:p>
      <w:pPr>
        <w:numPr>
          <w:ilvl w:val="0"/>
          <w:numId w:val="1001"/>
        </w:numPr>
        <w:pStyle w:val="Compact"/>
      </w:pPr>
      <w:r>
        <w:rPr>
          <w:bCs/>
          <w:b/>
        </w:rPr>
        <w:t xml:space="preserve">Safety and Compliance:</w:t>
      </w:r>
      <w:r>
        <w:t xml:space="preserve"> </w:t>
      </w:r>
      <w:r>
        <w:t xml:space="preserve">Adherence to laboratory safety protocols and regulatory requirements.</w:t>
      </w:r>
    </w:p>
    <w:p>
      <w:pPr>
        <w:numPr>
          <w:ilvl w:val="0"/>
          <w:numId w:val="1001"/>
        </w:numPr>
        <w:pStyle w:val="Compact"/>
      </w:pPr>
      <w:r>
        <w:rPr>
          <w:bCs/>
          <w:b/>
        </w:rPr>
        <w:t xml:space="preserve">Professional Development:</w:t>
      </w:r>
      <w:r>
        <w:t xml:space="preserve"> </w:t>
      </w:r>
      <w:r>
        <w:t xml:space="preserve">Commitment to continuous learning and skill enhancement.</w:t>
      </w:r>
    </w:p>
    <w:bookmarkEnd w:id="23"/>
    <w:bookmarkStart w:id="29" w:name="detailed-assessment"/>
    <w:p>
      <w:pPr>
        <w:pStyle w:val="Heading2"/>
      </w:pPr>
      <w:r>
        <w:t xml:space="preserve">4. Detailed Assessment</w:t>
      </w:r>
    </w:p>
    <w:bookmarkStart w:id="24" w:name="research-quality"/>
    <w:p>
      <w:pPr>
        <w:pStyle w:val="Heading3"/>
      </w:pPr>
      <w:r>
        <w:t xml:space="preserve">4.1 Research Quality</w:t>
      </w:r>
    </w:p>
    <w:p>
      <w:pPr>
        <w:pStyle w:val="FirstParagraph"/>
      </w:pPr>
      <w:r>
        <w:t xml:space="preserve">The Chemist has demonstrated a strong ability to conduct high-quality research. Their recent publication in a peer-reviewed journal on the synthesis of metal-organic frameworks (MOFs) for gas storage applications has received positive feedback from the scientific community. The study's methodology was robust, and the results were presented clearly, contributing valuable insights to the field. Additionally, the Chemist's work on environmental monitoring has provided actionable data for local authorities in Russia Saint Petersburg, highlighting the practical impact of their research.</w:t>
      </w:r>
    </w:p>
    <w:bookmarkEnd w:id="24"/>
    <w:bookmarkStart w:id="25" w:name="technical-expertise"/>
    <w:p>
      <w:pPr>
        <w:pStyle w:val="Heading3"/>
      </w:pPr>
      <w:r>
        <w:t xml:space="preserve">4.2 Technical Expertise</w:t>
      </w:r>
    </w:p>
    <w:p>
      <w:pPr>
        <w:pStyle w:val="FirstParagraph"/>
      </w:pPr>
      <w:r>
        <w:t xml:space="preserve">The Chemist exhibits a high level of technical proficiency, particularly in chromatography, spectroscopy, and electrochemical analysis. Their ability to troubleshoot complex experimental issues and optimize analytical protocols has been instrumental in the success of several projects. The Chemist's expertise in handling advanced instrumentation, such as mass spectrometers and NMR devices, is commendable and aligns with the standards expected in a leading research institution in Russia Saint Petersburg.</w:t>
      </w:r>
    </w:p>
    <w:bookmarkEnd w:id="25"/>
    <w:bookmarkStart w:id="26" w:name="collaboration"/>
    <w:p>
      <w:pPr>
        <w:pStyle w:val="Heading3"/>
      </w:pPr>
      <w:r>
        <w:t xml:space="preserve">4.3 Collaboration</w:t>
      </w:r>
    </w:p>
    <w:p>
      <w:pPr>
        <w:pStyle w:val="FirstParagraph"/>
      </w:pPr>
      <w:r>
        <w:t xml:space="preserve">Collaboration is a key strength of the Chemist. They have actively participated in interdisciplinary projects, working closely with physicists, biologists, and engineers to achieve shared goals. Their ability to communicate complex scientific concepts to non-specialists has facilitated effective teamwork and knowledge exchange. Furthermore, the Chemist has established partnerships with international researchers, enhancing the global visibility of their work and the institution's reputation.</w:t>
      </w:r>
    </w:p>
    <w:bookmarkEnd w:id="26"/>
    <w:bookmarkStart w:id="27" w:name="safety-and-compliance"/>
    <w:p>
      <w:pPr>
        <w:pStyle w:val="Heading3"/>
      </w:pPr>
      <w:r>
        <w:t xml:space="preserve">4.4 Safety and Compliance</w:t>
      </w:r>
    </w:p>
    <w:p>
      <w:pPr>
        <w:pStyle w:val="FirstParagraph"/>
      </w:pPr>
      <w:r>
        <w:t xml:space="preserve">The Chemist has consistently adhered to laboratory safety protocols and regulatory requirements. Their proactive approach to risk assessment and hazard mitigation has contributed to a safe working environment. The Chemist's familiarity with Russian chemical safety regulations and their commitment to maintaining compliance are particularly noteworthy. Regular training sessions conducted by the Chemist have also helped to raise awareness among colleagues about best practices in laboratory safety.</w:t>
      </w:r>
    </w:p>
    <w:bookmarkEnd w:id="27"/>
    <w:bookmarkStart w:id="28" w:name="professional-development"/>
    <w:p>
      <w:pPr>
        <w:pStyle w:val="Heading3"/>
      </w:pPr>
      <w:r>
        <w:t xml:space="preserve">4.5 Professional Development</w:t>
      </w:r>
    </w:p>
    <w:p>
      <w:pPr>
        <w:pStyle w:val="FirstParagraph"/>
      </w:pPr>
      <w:r>
        <w:t xml:space="preserve">The Chemist demonstrates a strong commitment to professional development. They have attended several conferences and workshops in Russia Saint Petersburg and abroad, staying updated on the latest advancements in their field. Their participation in these events has not only expanded their knowledge but also provided opportunities for networking and collaboration. The Chemist's efforts to mentor junior researchers and students further underscore their dedication to fostering the next generation of scientists.</w:t>
      </w:r>
    </w:p>
    <w:bookmarkEnd w:id="28"/>
    <w:bookmarkEnd w:id="29"/>
    <w:bookmarkStart w:id="30" w:name="strengths-and-areas-for-improvement"/>
    <w:p>
      <w:pPr>
        <w:pStyle w:val="Heading2"/>
      </w:pPr>
      <w:r>
        <w:t xml:space="preserve">5. Strengths and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High-quality research outputs</w:t>
            </w:r>
          </w:p>
        </w:tc>
        <w:tc>
          <w:tcPr/>
          <w:p>
            <w:pPr>
              <w:pStyle w:val="Compact"/>
              <w:jc w:val="left"/>
            </w:pPr>
            <w:r>
              <w:t xml:space="preserve">Increased focus on grant writing and funding acquisition</w:t>
            </w:r>
          </w:p>
        </w:tc>
      </w:tr>
      <w:tr>
        <w:tc>
          <w:tcPr/>
          <w:p>
            <w:pPr>
              <w:pStyle w:val="Compact"/>
              <w:jc w:val="left"/>
            </w:pPr>
            <w:r>
              <w:t xml:space="preserve">Strong technical skills</w:t>
            </w:r>
          </w:p>
        </w:tc>
        <w:tc>
          <w:tcPr/>
          <w:p>
            <w:pPr>
              <w:pStyle w:val="Compact"/>
              <w:jc w:val="left"/>
            </w:pPr>
            <w:r>
              <w:t xml:space="preserve">Enhanced engagement with industry partners</w:t>
            </w:r>
          </w:p>
        </w:tc>
      </w:tr>
      <w:tr>
        <w:tc>
          <w:tcPr/>
          <w:p>
            <w:pPr>
              <w:pStyle w:val="Compact"/>
              <w:jc w:val="left"/>
            </w:pPr>
            <w:r>
              <w:t xml:space="preserve">Effective collaboration and communication</w:t>
            </w:r>
          </w:p>
        </w:tc>
        <w:tc>
          <w:tcPr/>
          <w:p>
            <w:pPr>
              <w:pStyle w:val="Compact"/>
              <w:jc w:val="left"/>
            </w:pPr>
            <w:r>
              <w:t xml:space="preserve">Greater emphasis on public outreach and science communication</w:t>
            </w:r>
          </w:p>
        </w:tc>
      </w:tr>
      <w:tr>
        <w:tc>
          <w:tcPr/>
          <w:p>
            <w:pPr>
              <w:pStyle w:val="Compact"/>
              <w:jc w:val="left"/>
            </w:pPr>
            <w:r>
              <w:t xml:space="preserve">Commitment to safety and compliance</w:t>
            </w:r>
          </w:p>
        </w:tc>
        <w:tc>
          <w:tcPr/>
          <w:p>
            <w:pPr>
              <w:pStyle w:val="Compact"/>
              <w:jc w:val="left"/>
            </w:pPr>
            <w:r>
              <w:t xml:space="preserve">Exploration of emerging technologies in analytical chemistry</w:t>
            </w:r>
          </w:p>
        </w:tc>
      </w:tr>
    </w:tbl>
    <w:bookmarkEnd w:id="30"/>
    <w:bookmarkStart w:id="31" w:name="conclusion"/>
    <w:p>
      <w:pPr>
        <w:pStyle w:val="Heading2"/>
      </w:pPr>
      <w:r>
        <w:t xml:space="preserve">6. Conclusion</w:t>
      </w:r>
    </w:p>
    <w:p>
      <w:pPr>
        <w:pStyle w:val="FirstParagraph"/>
      </w:pPr>
      <w:r>
        <w:t xml:space="preserve">In conclusion, the Chemist under review has made significant contributions to the field of chemistry in Russia Saint Petersburg. Their research quality, technical expertise, and collaborative spirit are exemplary, and their commitment to safety and professional development is commendable. While there are areas for improvement, particularly in grant writing and industry engagement, the Chemist's overall performance is highly satisfactory. This Peer Review Report recommends continued support for the Chemist's work and encourages them to pursue opportunities for further growth and impact.</w:t>
      </w:r>
    </w:p>
    <w:bookmarkEnd w:id="31"/>
    <w:p>
      <w:pPr>
        <w:pStyle w:val="BodyText"/>
      </w:pPr>
      <w:r>
        <w:rPr>
          <w:bCs/>
          <w:b/>
        </w:rPr>
        <w:t xml:space="preserve">Reviewer's Signature:</w:t>
      </w:r>
      <w:r>
        <w:t xml:space="preserve"> </w:t>
      </w:r>
      <w:r>
        <w:t xml:space="preserve">_________________________</w:t>
      </w:r>
    </w:p>
    <w:p>
      <w:pPr>
        <w:pStyle w:val="BodyText"/>
      </w:pPr>
      <w:r>
        <w:rPr>
          <w:bCs/>
          <w:b/>
        </w:rPr>
        <w:t xml:space="preserve">Name:</w:t>
      </w:r>
      <w:r>
        <w:t xml:space="preserve"> </w:t>
      </w:r>
      <w:r>
        <w:t xml:space="preserve">Dr. Elena Petrova</w:t>
      </w:r>
    </w:p>
    <w:p>
      <w:pPr>
        <w:pStyle w:val="BodyText"/>
      </w:pPr>
      <w:r>
        <w:rPr>
          <w:bCs/>
          <w:b/>
        </w:rPr>
        <w:t xml:space="preserve">Title:</w:t>
      </w:r>
      <w:r>
        <w:t xml:space="preserve"> </w:t>
      </w:r>
      <w:r>
        <w:t xml:space="preserve">Senior Research Chemist</w:t>
      </w:r>
    </w:p>
    <w:p>
      <w:pPr>
        <w:pStyle w:val="BodyText"/>
      </w:pPr>
      <w:r>
        <w:rPr>
          <w:bCs/>
          <w:b/>
        </w:rPr>
        <w:t xml:space="preserve">Institution:</w:t>
      </w:r>
      <w:r>
        <w:t xml:space="preserve"> </w:t>
      </w:r>
      <w:r>
        <w:t xml:space="preserve">[Name of Institution],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Russia Saint Petersburg</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