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Registered Chemist</w:t>
      </w:r>
    </w:p>
    <w:p>
      <w:pPr>
        <w:pStyle w:val="BodyText"/>
      </w:pPr>
      <w:r>
        <w:rPr>
          <w:bCs/>
          <w:b/>
        </w:rPr>
        <w:t xml:space="preserve">Location:</w:t>
      </w:r>
      <w:r>
        <w:t xml:space="preserve"> </w:t>
      </w:r>
      <w:r>
        <w:t xml:space="preserve">Dar es Salaam, Tanzania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Pharmacy and Poisons Board (PPB) - Dar es Salaam Regional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ethical standards, and technical competence of a practicing Chemist within the Dar es Salaam region of Tanzania. The review is conducted in accordance with the guidelines set forth by the Pharmacy and Poisons Board (PPB) and the Pharmacy and Poisons Act of Tanzania. The primary objective is to ensure that the Chemist maintains the highest standards of pharmaceutical care, adheres to national regulations, and contributes positively to public health outcomes in this rapidly growing urban center.</w:t>
      </w:r>
    </w:p>
    <w:p>
      <w:pPr>
        <w:pStyle w:val="BodyText"/>
      </w:pPr>
      <w:r>
        <w:t xml:space="preserve">Dar es Salaam, as the commercial hub of Tanzania, presents unique challenges and opportunities for healthcare professionals. The high population density, diverse patient demographics, and increasing demand for pharmaceutical services require Chemists to demonstrate exceptional vigilance, adaptability, and professionalism. This report assesses whether the subject Chemist meets these rigorous expectations.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Chemist</w:t>
            </w:r>
          </w:p>
        </w:tc>
        <w:tc>
          <w:tcPr/>
          <w:p>
            <w:pPr>
              <w:pStyle w:val="Compact"/>
              <w:jc w:val="left"/>
            </w:pPr>
            <w:r>
              <w:t xml:space="preserve">[Confidential - Redacted for Privacy]</w:t>
            </w:r>
          </w:p>
        </w:tc>
      </w:tr>
      <w:tr>
        <w:tc>
          <w:tcPr/>
          <w:p>
            <w:pPr>
              <w:pStyle w:val="Compact"/>
              <w:jc w:val="left"/>
            </w:pPr>
            <w:r>
              <w:t xml:space="preserve">Registration Number</w:t>
            </w:r>
          </w:p>
        </w:tc>
        <w:tc>
          <w:tcPr/>
          <w:p>
            <w:pPr>
              <w:pStyle w:val="Compact"/>
              <w:jc w:val="left"/>
            </w:pPr>
            <w:r>
              <w:t xml:space="preserve">PPB/CHEM/XXXX/20XX</w:t>
            </w:r>
          </w:p>
        </w:tc>
      </w:tr>
      <w:tr>
        <w:tc>
          <w:tcPr/>
          <w:p>
            <w:pPr>
              <w:pStyle w:val="Compact"/>
              <w:jc w:val="left"/>
            </w:pPr>
            <w:r>
              <w:t xml:space="preserve">Place of Practice</w:t>
            </w:r>
          </w:p>
        </w:tc>
        <w:tc>
          <w:tcPr/>
          <w:p>
            <w:pPr>
              <w:pStyle w:val="Compact"/>
              <w:jc w:val="left"/>
            </w:pPr>
            <w:r>
              <w:t xml:space="preserve">Community Pharmacy, Kinondoni District, Dar es Salaam</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Reviewers</w:t>
            </w:r>
          </w:p>
        </w:tc>
        <w:tc>
          <w:tcPr/>
          <w:p>
            <w:pPr>
              <w:pStyle w:val="Compact"/>
              <w:jc w:val="left"/>
            </w:pPr>
            <w:r>
              <w:t xml:space="preserve">Dr. A. M. Juma (Senior Pharmacist), Ms. S. K. Mushi (Clinical Pharmacist)</w:t>
            </w:r>
          </w:p>
        </w:tc>
      </w:tr>
    </w:tbl>
    <w:bookmarkEnd w:id="22"/>
    <w:bookmarkStart w:id="23" w:name="evaluation-criteria-and-methodology"/>
    <w:p>
      <w:pPr>
        <w:pStyle w:val="Heading2"/>
      </w:pPr>
      <w:r>
        <w:t xml:space="preserve">3. Evaluation Criteria and Methodology</w:t>
      </w:r>
    </w:p>
    <w:p>
      <w:pPr>
        <w:pStyle w:val="FirstParagraph"/>
      </w:pPr>
      <w:r>
        <w:t xml:space="preserve">The peer review process involved a comprehensive site visit, document analysis, and interviews with staff and patients. The evaluation focused on four key areas:</w:t>
      </w:r>
    </w:p>
    <w:p>
      <w:pPr>
        <w:numPr>
          <w:ilvl w:val="0"/>
          <w:numId w:val="1001"/>
        </w:numPr>
        <w:pStyle w:val="Compact"/>
      </w:pPr>
      <w:r>
        <w:rPr>
          <w:bCs/>
          <w:b/>
        </w:rPr>
        <w:t xml:space="preserve">Regulatory Compliance:</w:t>
      </w:r>
      <w:r>
        <w:t xml:space="preserve"> </w:t>
      </w:r>
      <w:r>
        <w:t xml:space="preserve">Adherence to the Pharmacy and Poisons Act and PPB regulations.</w:t>
      </w:r>
    </w:p>
    <w:p>
      <w:pPr>
        <w:numPr>
          <w:ilvl w:val="0"/>
          <w:numId w:val="1001"/>
        </w:numPr>
        <w:pStyle w:val="Compact"/>
      </w:pPr>
      <w:r>
        <w:rPr>
          <w:bCs/>
          <w:b/>
        </w:rPr>
        <w:t xml:space="preserve">Clinical Competence:</w:t>
      </w:r>
      <w:r>
        <w:t xml:space="preserve"> </w:t>
      </w:r>
      <w:r>
        <w:t xml:space="preserve">Accuracy in dispensing, drug interaction checks, and patient counseling.</w:t>
      </w:r>
    </w:p>
    <w:p>
      <w:pPr>
        <w:numPr>
          <w:ilvl w:val="0"/>
          <w:numId w:val="1001"/>
        </w:numPr>
        <w:pStyle w:val="Compact"/>
      </w:pPr>
      <w:r>
        <w:rPr>
          <w:bCs/>
          <w:b/>
        </w:rPr>
        <w:t xml:space="preserve">Storage and Inventory Management:</w:t>
      </w:r>
      <w:r>
        <w:t xml:space="preserve"> </w:t>
      </w:r>
      <w:r>
        <w:t xml:space="preserve">Proper handling of medicines, including temperature-sensitive products.</w:t>
      </w:r>
    </w:p>
    <w:p>
      <w:pPr>
        <w:numPr>
          <w:ilvl w:val="0"/>
          <w:numId w:val="1001"/>
        </w:numPr>
        <w:pStyle w:val="Compact"/>
      </w:pPr>
      <w:r>
        <w:rPr>
          <w:bCs/>
          <w:b/>
        </w:rPr>
        <w:t xml:space="preserve">Ethical Practice:</w:t>
      </w:r>
      <w:r>
        <w:t xml:space="preserve"> </w:t>
      </w:r>
      <w:r>
        <w:t xml:space="preserve">Professional conduct, confidentiality, and conflict of interest management.</w:t>
      </w:r>
    </w:p>
    <w:bookmarkEnd w:id="23"/>
    <w:bookmarkStart w:id="28" w:name="detailed-findings"/>
    <w:p>
      <w:pPr>
        <w:pStyle w:val="Heading2"/>
      </w:pPr>
      <w:r>
        <w:t xml:space="preserve">4. Detailed Findings</w:t>
      </w:r>
    </w:p>
    <w:bookmarkStart w:id="24" w:name="regulatory-compliance"/>
    <w:p>
      <w:pPr>
        <w:pStyle w:val="Heading3"/>
      </w:pPr>
      <w:r>
        <w:t xml:space="preserve">4.1 Regulatory Compliance</w:t>
      </w:r>
    </w:p>
    <w:p>
      <w:pPr>
        <w:pStyle w:val="FirstParagraph"/>
      </w:pPr>
      <w:r>
        <w:t xml:space="preserve">The Chemist’s practice in Dar es Salaam is fully licensed and up-to-date with the Pharmacy and Poisons Board. All required permits, including the Certificate of Registration and the Pharmacy Practice License, were displayed prominently. The review confirmed that the Chemist strictly follows the legal requirements for dispensing prescription-only medicines (POMs). No instances of illegal sales of controlled substances were observed. The record-keeping for Schedule 2 and Schedule 3 drugs was meticulous, aligning with Tanzanian legal standards.</w:t>
      </w:r>
    </w:p>
    <w:bookmarkEnd w:id="24"/>
    <w:bookmarkStart w:id="25" w:name="clinical-competence-and-patient-care"/>
    <w:p>
      <w:pPr>
        <w:pStyle w:val="Heading3"/>
      </w:pPr>
      <w:r>
        <w:t xml:space="preserve">4.2 Clinical Competence and Patient Care</w:t>
      </w:r>
    </w:p>
    <w:p>
      <w:pPr>
        <w:pStyle w:val="FirstParagraph"/>
      </w:pPr>
      <w:r>
        <w:t xml:space="preserve">The Chemist demonstrated a high level of clinical knowledge. During the observation period, the Chemist successfully identified potential drug-drug interactions in three separate cases and intervened to consult with the prescribing physician. This proactive approach is critical in Dar es Salaam, where polypharmacy is common among patients with chronic conditions such as hypertension and diabetes.</w:t>
      </w:r>
    </w:p>
    <w:p>
      <w:pPr>
        <w:pStyle w:val="BodyText"/>
      </w:pPr>
      <w:r>
        <w:t xml:space="preserve">Patient counseling was conducted effectively. The Chemist took the time to explain dosage instructions, side effects, and storage requirements in both English and Swahili, ensuring that patients from diverse backgrounds understood their treatment plans. This bilingual capability is essential for effective communication in Tanzania’s multicultural environment.</w:t>
      </w:r>
    </w:p>
    <w:bookmarkEnd w:id="25"/>
    <w:bookmarkStart w:id="26" w:name="storage-and-inventory-management"/>
    <w:p>
      <w:pPr>
        <w:pStyle w:val="Heading3"/>
      </w:pPr>
      <w:r>
        <w:t xml:space="preserve">4.3 Storage and Inventory Management</w:t>
      </w:r>
    </w:p>
    <w:p>
      <w:pPr>
        <w:pStyle w:val="FirstParagraph"/>
      </w:pPr>
      <w:r>
        <w:t xml:space="preserve">The pharmacy’s storage facilities were inspected for compliance with Good Pharmacy Practice (GPP) guidelines. The Chemist maintains a reliable cold chain for vaccines and insulin, which is particularly challenging given the tropical climate of Dar es Salaam. Temperature logs were reviewed and found to be accurate and regularly monitored. Stock rotation practices were excellent, with no expired medicines found on the shelves. The inventory management system used is digital, reducing the risk of human error and facilitating real-time stock tracking.</w:t>
      </w:r>
    </w:p>
    <w:bookmarkEnd w:id="26"/>
    <w:bookmarkStart w:id="27" w:name="ethical-practice-and-professionalism"/>
    <w:p>
      <w:pPr>
        <w:pStyle w:val="Heading3"/>
      </w:pPr>
      <w:r>
        <w:t xml:space="preserve">4.4 Ethical Practice and Professionalism</w:t>
      </w:r>
    </w:p>
    <w:p>
      <w:pPr>
        <w:pStyle w:val="FirstParagraph"/>
      </w:pPr>
      <w:r>
        <w:t xml:space="preserve">The Chemist exhibited strong ethical standards. Patient confidentiality was strictly maintained, with consultation areas designed to ensure privacy. The Chemist also demonstrated integrity by refusing to dispense a requested antibiotic without a valid prescription, despite pressure from the patient. This adherence to ethical guidelines helps combat the growing issue of antibiotic resistance in Tanzania.</w:t>
      </w:r>
    </w:p>
    <w:bookmarkEnd w:id="27"/>
    <w:bookmarkEnd w:id="28"/>
    <w:bookmarkStart w:id="29" w:name="areas-for-improvement"/>
    <w:p>
      <w:pPr>
        <w:pStyle w:val="Heading2"/>
      </w:pPr>
      <w:r>
        <w:t xml:space="preserve">5. Areas for Improvement</w:t>
      </w:r>
    </w:p>
    <w:p>
      <w:pPr>
        <w:pStyle w:val="FirstParagraph"/>
      </w:pPr>
      <w:r>
        <w:t xml:space="preserve">While the overall performance was commendable, the following areas were identified for improvement:</w:t>
      </w:r>
    </w:p>
    <w:p>
      <w:pPr>
        <w:numPr>
          <w:ilvl w:val="0"/>
          <w:numId w:val="1002"/>
        </w:numPr>
        <w:pStyle w:val="Compact"/>
      </w:pPr>
      <w:r>
        <w:rPr>
          <w:bCs/>
          <w:b/>
        </w:rPr>
        <w:t xml:space="preserve">Continuing Professional Development (CPD):</w:t>
      </w:r>
      <w:r>
        <w:t xml:space="preserve"> </w:t>
      </w:r>
      <w:r>
        <w:t xml:space="preserve">The Chemist should increase participation in CPD activities focused on emerging infectious diseases relevant to East Africa.</w:t>
      </w:r>
    </w:p>
    <w:p>
      <w:pPr>
        <w:numPr>
          <w:ilvl w:val="0"/>
          <w:numId w:val="1002"/>
        </w:numPr>
        <w:pStyle w:val="Compact"/>
      </w:pPr>
      <w:r>
        <w:rPr>
          <w:bCs/>
          <w:b/>
        </w:rPr>
        <w:t xml:space="preserve">Community Outreach:</w:t>
      </w:r>
      <w:r>
        <w:t xml:space="preserve"> </w:t>
      </w:r>
      <w:r>
        <w:t xml:space="preserve">Expanding health education programs in the local community could enhance public trust and health literacy.</w:t>
      </w:r>
    </w:p>
    <w:p>
      <w:pPr>
        <w:numPr>
          <w:ilvl w:val="0"/>
          <w:numId w:val="1002"/>
        </w:numPr>
        <w:pStyle w:val="Compact"/>
      </w:pPr>
      <w:r>
        <w:rPr>
          <w:bCs/>
          <w:b/>
        </w:rPr>
        <w:t xml:space="preserve">Documentation:</w:t>
      </w:r>
      <w:r>
        <w:t xml:space="preserve"> </w:t>
      </w:r>
      <w:r>
        <w:t xml:space="preserve">While clinical records were good, the documentation of adverse drug reactions (ADRs) could be more systematic to contribute to national pharmacovigilance efforts.</w:t>
      </w:r>
    </w:p>
    <w:bookmarkEnd w:id="29"/>
    <w:bookmarkStart w:id="30" w:name="conclusion-and-recommendations"/>
    <w:p>
      <w:pPr>
        <w:pStyle w:val="Heading2"/>
      </w:pPr>
      <w:r>
        <w:t xml:space="preserve">6. Conclusion and Recommendations</w:t>
      </w:r>
    </w:p>
    <w:p>
      <w:pPr>
        <w:pStyle w:val="FirstParagraph"/>
      </w:pPr>
      <w:r>
        <w:t xml:space="preserve">Based on the findings of this Peer Review Report, the Chemist is deemed fully competent and compliant with the professional standards required for practice in Dar es Salaam, Tanzania. The Chemist’s dedication to patient safety, regulatory adherence, and ethical practice is evident. The identified areas for improvement are minor and can be addressed through targeted professional development.</w:t>
      </w:r>
    </w:p>
    <w:p>
      <w:pPr>
        <w:pStyle w:val="BodyText"/>
      </w:pPr>
      <w:r>
        <w:rPr>
          <w:bCs/>
          <w:b/>
        </w:rPr>
        <w:t xml:space="preserve">Recommendation:</w:t>
      </w:r>
      <w:r>
        <w:t xml:space="preserve"> </w:t>
      </w:r>
      <w:r>
        <w:t xml:space="preserve">The Pharmacy and Poisons Board is advised to renew the Chemist’s license without conditions. The Chemist is encouraged to implement the suggested improvements within the next six months and to continue serving as a role model for pharmaceutical professionals in the region.</w:t>
      </w:r>
    </w:p>
    <w:bookmarkEnd w:id="30"/>
    <w:p>
      <w:pPr>
        <w:pStyle w:val="BodyText"/>
      </w:pPr>
      <w:r>
        <w:rPr>
          <w:bCs/>
          <w:b/>
        </w:rPr>
        <w:t xml:space="preserve">Reviewed by:</w:t>
      </w:r>
    </w:p>
    <w:p>
      <w:pPr>
        <w:pStyle w:val="BodyText"/>
      </w:pPr>
      <w:r>
        <w:t xml:space="preserve">Dr. A. M. Juma</w:t>
      </w:r>
      <w:r>
        <w:br/>
      </w:r>
      <w:r>
        <w:t xml:space="preserve">Senior Pharmacist</w:t>
      </w:r>
      <w:r>
        <w:br/>
      </w:r>
      <w:r>
        <w:t xml:space="preserve">Pharmacy and Poisons Board</w:t>
      </w:r>
    </w:p>
    <w:p>
      <w:pPr>
        <w:pStyle w:val="BodyText"/>
      </w:pPr>
      <w:r>
        <w:br/>
      </w:r>
    </w:p>
    <w:p>
      <w:pPr>
        <w:pStyle w:val="BodyText"/>
      </w:pPr>
      <w:r>
        <w:rPr>
          <w:bCs/>
          <w:b/>
        </w:rPr>
        <w:t xml:space="preserve">Co-Reviewer:</w:t>
      </w:r>
    </w:p>
    <w:p>
      <w:pPr>
        <w:pStyle w:val="BodyText"/>
      </w:pPr>
      <w:r>
        <w:t xml:space="preserve">Ms. S. K. Mushi</w:t>
      </w:r>
      <w:r>
        <w:br/>
      </w:r>
      <w:r>
        <w:t xml:space="preserve">Clinical Pharmacist</w:t>
      </w:r>
      <w:r>
        <w:br/>
      </w:r>
      <w:r>
        <w:t xml:space="preserve">Pharmacy and Poisons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Assessment</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