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Evaluation</w:t>
      </w:r>
      <w:r>
        <w:t xml:space="preserve"> </w:t>
      </w:r>
      <w:r>
        <w:t xml:space="preserve">-</w:t>
      </w:r>
      <w:r>
        <w:t xml:space="preserve"> </w:t>
      </w:r>
      <w:r>
        <w:t xml:space="preserve">Ankara,</w:t>
      </w:r>
      <w:r>
        <w:t xml:space="preserve"> </w:t>
      </w:r>
      <w:r>
        <w:t xml:space="preserve">Turkey</w:t>
      </w:r>
    </w:p>
    <w:bookmarkStart w:id="20" w:name="peer-review-report"/>
    <w:p>
      <w:pPr>
        <w:pStyle w:val="Heading1"/>
      </w:pPr>
      <w:r>
        <w:t xml:space="preserve">Peer Review Report</w:t>
      </w:r>
    </w:p>
    <w:p>
      <w:pPr>
        <w:pStyle w:val="FirstParagraph"/>
      </w:pPr>
      <w:r>
        <w:t xml:space="preserve">Professional Competency Assessment for Pharmaceutical Chemist</w:t>
      </w:r>
    </w:p>
    <w:p>
      <w:pPr>
        <w:pStyle w:val="BodyText"/>
      </w:pPr>
      <w:r>
        <w:rPr>
          <w:bCs/>
          <w:b/>
        </w:rPr>
        <w:t xml:space="preserve">Location:</w:t>
      </w:r>
      <w:r>
        <w:t xml:space="preserve"> </w:t>
      </w:r>
      <w:r>
        <w:t xml:space="preserve">Ankara, Turkey</w:t>
      </w:r>
      <w:r>
        <w:t xml:space="preserve"> </w:t>
      </w:r>
      <w:r>
        <w:rPr>
          <w:bCs/>
          <w:b/>
        </w:rPr>
        <w:t xml:space="preserve">Date:</w:t>
      </w:r>
      <w:r>
        <w:t xml:space="preserve"> </w:t>
      </w:r>
      <w:r>
        <w:t xml:space="preserve">October 24, 2023</w:t>
      </w:r>
      <w:r>
        <w:t xml:space="preserve"> </w:t>
      </w:r>
      <w:r>
        <w:rPr>
          <w:bCs/>
          <w:b/>
        </w:rPr>
        <w:t xml:space="preserve">Report ID:</w:t>
      </w:r>
      <w:r>
        <w:t xml:space="preserve"> </w:t>
      </w:r>
      <w:r>
        <w:t xml:space="preserve">TR-ANK-CHEM-2023-089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standing, technical proficiency, and regulatory compliance of a practicing</w:t>
      </w:r>
      <w:r>
        <w:t xml:space="preserve"> </w:t>
      </w:r>
      <w:r>
        <w:rPr>
          <w:bCs/>
          <w:b/>
        </w:rPr>
        <w:t xml:space="preserve">Chemist</w:t>
      </w:r>
      <w:r>
        <w:t xml:space="preserve"> </w:t>
      </w:r>
      <w:r>
        <w:t xml:space="preserve">operating within the pharmaceutical and analytical sector in</w:t>
      </w:r>
      <w:r>
        <w:t xml:space="preserve"> </w:t>
      </w:r>
      <w:r>
        <w:rPr>
          <w:bCs/>
          <w:b/>
        </w:rPr>
        <w:t xml:space="preserve">Turkey, Ankara</w:t>
      </w:r>
      <w:r>
        <w:t xml:space="preserve">. The review process adheres to the standards set forth by the Turkish Pharmacists Association (Türk Eczacıları Birliği) and aligns with international Good Laboratory Practices (GLP). The primary objective is to ensure that the subject Chemist maintains the highest levels of scientific integrity, safety, and quality control required for the dynamic healthcare environment in the capital city.</w:t>
      </w:r>
    </w:p>
    <w:bookmarkEnd w:id="21"/>
    <w:bookmarkStart w:id="22" w:name="introduction-and-scope"/>
    <w:p>
      <w:pPr>
        <w:pStyle w:val="Heading2"/>
      </w:pPr>
      <w:r>
        <w:t xml:space="preserve">2. Introduction and Scope</w:t>
      </w:r>
    </w:p>
    <w:p>
      <w:pPr>
        <w:pStyle w:val="FirstParagraph"/>
      </w:pPr>
      <w:r>
        <w:t xml:space="preserve">The role of a</w:t>
      </w:r>
      <w:r>
        <w:t xml:space="preserve"> </w:t>
      </w:r>
      <w:r>
        <w:rPr>
          <w:bCs/>
          <w:b/>
        </w:rPr>
        <w:t xml:space="preserve">Chemist</w:t>
      </w:r>
      <w:r>
        <w:t xml:space="preserve"> </w:t>
      </w:r>
      <w:r>
        <w:t xml:space="preserve">in</w:t>
      </w:r>
      <w:r>
        <w:t xml:space="preserve"> </w:t>
      </w:r>
      <w:r>
        <w:rPr>
          <w:bCs/>
          <w:b/>
        </w:rPr>
        <w:t xml:space="preserve">Ankara</w:t>
      </w:r>
      <w:r>
        <w:t xml:space="preserve"> </w:t>
      </w:r>
      <w:r>
        <w:t xml:space="preserve">is pivotal, given the city's status as a hub for government health institutions, major pharmaceutical manufacturing plants, and leading research universities. This review assesses the Chemist's performance over the last fiscal year. The scope includes an analysis of laboratory management, adherence to Turkish Medicines and Medical Devices Agency (TİTCK) regulations, analytical accuracy, and contribution to local scientific communities.</w:t>
      </w:r>
    </w:p>
    <w:p>
      <w:pPr>
        <w:pStyle w:val="BodyText"/>
      </w:pPr>
      <w:r>
        <w:t xml:space="preserve">As a formal</w:t>
      </w:r>
      <w:r>
        <w:t xml:space="preserve"> </w:t>
      </w:r>
      <w:r>
        <w:rPr>
          <w:bCs/>
          <w:b/>
        </w:rPr>
        <w:t xml:space="preserve">Peer Review Report</w:t>
      </w:r>
      <w:r>
        <w:t xml:space="preserve">, this document serves as a critical tool for continuous professional development. It is designed to identify strengths, mitigate risks, and ensure that the Chemist's operations in</w:t>
      </w:r>
      <w:r>
        <w:t xml:space="preserve"> </w:t>
      </w:r>
      <w:r>
        <w:rPr>
          <w:bCs/>
          <w:b/>
        </w:rPr>
        <w:t xml:space="preserve">Turkey</w:t>
      </w:r>
      <w:r>
        <w:t xml:space="preserve"> </w:t>
      </w:r>
      <w:r>
        <w:t xml:space="preserve">meet the rigorous demands of modern pharmaceutical science.</w:t>
      </w:r>
    </w:p>
    <w:bookmarkEnd w:id="22"/>
    <w:bookmarkStart w:id="25" w:name="X5772862b0a03563f91279afec36a2aa04d7bf77"/>
    <w:p>
      <w:pPr>
        <w:pStyle w:val="Heading2"/>
      </w:pPr>
      <w:r>
        <w:t xml:space="preserve">3. Technical Competency and Analytical Performance</w:t>
      </w:r>
    </w:p>
    <w:bookmarkStart w:id="23" w:name="methodology-and-precision"/>
    <w:p>
      <w:pPr>
        <w:pStyle w:val="Heading3"/>
      </w:pPr>
      <w:r>
        <w:t xml:space="preserve">3.1 Methodology and Precision</w:t>
      </w:r>
    </w:p>
    <w:p>
      <w:pPr>
        <w:pStyle w:val="FirstParagraph"/>
      </w:pPr>
      <w:r>
        <w:t xml:space="preserve">The Chemist demonstrated exceptional proficiency in chromatographic techniques (HPLC, GC-MS) and spectroscopic analysis. During the audit of laboratory records in the Ankara facility, it was observed that the Chemist consistently achieved high precision and accuracy in drug substance analysis. The implementation of robust validation protocols ensures that data generated is reliable for regulatory submissions.</w:t>
      </w:r>
    </w:p>
    <w:bookmarkEnd w:id="23"/>
    <w:bookmarkStart w:id="24" w:name="laboratory-safety-and-management"/>
    <w:p>
      <w:pPr>
        <w:pStyle w:val="Heading3"/>
      </w:pPr>
      <w:r>
        <w:t xml:space="preserve">3.2 Laboratory Safety and Management</w:t>
      </w:r>
    </w:p>
    <w:p>
      <w:pPr>
        <w:pStyle w:val="FirstParagraph"/>
      </w:pPr>
      <w:r>
        <w:t xml:space="preserve">Safety is paramount in chemical handling. The review confirms that the Chemist strictly adheres to the Occupational Health and Safety Law of Turkey (Law No. 6331). The laboratory environment in Ankara was found to be well-organized, with proper segregation of hazardous materials and up-to-date Material Safety Data Sheets (MSDS) accessible to all staff. The Chemist has successfully integrated modern waste disposal protocols, ensuring environmental compliance within the region.</w:t>
      </w:r>
    </w:p>
    <w:bookmarkEnd w:id="24"/>
    <w:bookmarkEnd w:id="25"/>
    <w:bookmarkStart w:id="26" w:name="regulatory-compliance-in-turkey"/>
    <w:p>
      <w:pPr>
        <w:pStyle w:val="Heading2"/>
      </w:pPr>
      <w:r>
        <w:t xml:space="preserve">4. Regulatory Compliance in Turkey</w:t>
      </w:r>
    </w:p>
    <w:p>
      <w:pPr>
        <w:pStyle w:val="FirstParagraph"/>
      </w:pPr>
      <w:r>
        <w:t xml:space="preserve">A critical component of this</w:t>
      </w:r>
      <w:r>
        <w:t xml:space="preserve"> </w:t>
      </w:r>
      <w:r>
        <w:rPr>
          <w:bCs/>
          <w:b/>
        </w:rPr>
        <w:t xml:space="preserve">Peer Review Report</w:t>
      </w:r>
      <w:r>
        <w:t xml:space="preserve"> </w:t>
      </w:r>
      <w:r>
        <w:t xml:space="preserve">is the assessment of regulatory adherence. The Chemist has shown a thorough understanding of the Turkish Pharmacopoeia and the specific guidelines issued by the TİTCK. In the context of</w:t>
      </w:r>
      <w:r>
        <w:t xml:space="preserve"> </w:t>
      </w:r>
      <w:r>
        <w:rPr>
          <w:bCs/>
          <w:b/>
        </w:rPr>
        <w:t xml:space="preserve">Ankara</w:t>
      </w:r>
      <w:r>
        <w:t xml:space="preserve">, where regulatory oversight is stringent, the Chemist's ability to navigate complex compliance landscapes is commendable.</w:t>
      </w:r>
    </w:p>
    <w:p>
      <w:pPr>
        <w:numPr>
          <w:ilvl w:val="0"/>
          <w:numId w:val="1001"/>
        </w:numPr>
        <w:pStyle w:val="Compact"/>
      </w:pPr>
      <w:r>
        <w:rPr>
          <w:bCs/>
          <w:b/>
        </w:rPr>
        <w:t xml:space="preserve">Documentation:</w:t>
      </w:r>
      <w:r>
        <w:t xml:space="preserve"> </w:t>
      </w:r>
      <w:r>
        <w:t xml:space="preserve">All batch records and analytical reports were maintained in accordance with Good Documentation Practices (GDP).</w:t>
      </w:r>
    </w:p>
    <w:p>
      <w:pPr>
        <w:numPr>
          <w:ilvl w:val="0"/>
          <w:numId w:val="1001"/>
        </w:numPr>
        <w:pStyle w:val="Compact"/>
      </w:pPr>
      <w:r>
        <w:rPr>
          <w:bCs/>
          <w:b/>
        </w:rPr>
        <w:t xml:space="preserve">Quality Assurance:</w:t>
      </w:r>
      <w:r>
        <w:t xml:space="preserve"> </w:t>
      </w:r>
      <w:r>
        <w:t xml:space="preserve">The Chemist actively participates in internal audits, ensuring that the facility remains compliant with EU-GMP standards, which are increasingly relevant for Turkish pharmaceutical exports.</w:t>
      </w:r>
    </w:p>
    <w:p>
      <w:pPr>
        <w:numPr>
          <w:ilvl w:val="0"/>
          <w:numId w:val="1001"/>
        </w:numPr>
        <w:pStyle w:val="Compact"/>
      </w:pPr>
      <w:r>
        <w:rPr>
          <w:bCs/>
          <w:b/>
        </w:rPr>
        <w:t xml:space="preserve">Pharmacovigilance:</w:t>
      </w:r>
      <w:r>
        <w:t xml:space="preserve"> </w:t>
      </w:r>
      <w:r>
        <w:t xml:space="preserve">The Chemist contributes to the monitoring of drug safety, reporting adverse events as required by Turkish law.</w:t>
      </w:r>
    </w:p>
    <w:bookmarkEnd w:id="26"/>
    <w:bookmarkStart w:id="27" w:name="X6b6473f8b780ae58ab0f7a72f015094a0319ed4"/>
    <w:p>
      <w:pPr>
        <w:pStyle w:val="Heading2"/>
      </w:pPr>
      <w:r>
        <w:t xml:space="preserve">5. Professional Development and Community Engagement</w:t>
      </w:r>
    </w:p>
    <w:p>
      <w:pPr>
        <w:pStyle w:val="FirstParagraph"/>
      </w:pPr>
      <w:r>
        <w:t xml:space="preserve">The scientific community in</w:t>
      </w:r>
      <w:r>
        <w:t xml:space="preserve"> </w:t>
      </w:r>
      <w:r>
        <w:rPr>
          <w:bCs/>
          <w:b/>
        </w:rPr>
        <w:t xml:space="preserve">Ankara</w:t>
      </w:r>
      <w:r>
        <w:t xml:space="preserve"> </w:t>
      </w:r>
      <w:r>
        <w:t xml:space="preserve">is vibrant, featuring institutions such as Bilkent University and Hacettepe University. This</w:t>
      </w:r>
      <w:r>
        <w:t xml:space="preserve"> </w:t>
      </w:r>
      <w:r>
        <w:rPr>
          <w:bCs/>
          <w:b/>
        </w:rPr>
        <w:t xml:space="preserve">Peer Review Report</w:t>
      </w:r>
      <w:r>
        <w:t xml:space="preserve"> </w:t>
      </w:r>
      <w:r>
        <w:t xml:space="preserve">highlights the Chemist's active engagement with this ecosystem. The subject has attended recent national congresses on pharmaceutical chemistry and has contributed to workshops aimed at standardizing analytical methods across Turkish laboratories.</w:t>
      </w:r>
    </w:p>
    <w:p>
      <w:pPr>
        <w:pStyle w:val="BodyText"/>
      </w:pPr>
      <w:r>
        <w:t xml:space="preserve">Furthermore, the Chemist has demonstrated a commitment to mentoring junior staff, fostering a culture of excellence and scientific curiosity. This leadership quality is essential for the advancement of the chemical sciences in</w:t>
      </w:r>
      <w:r>
        <w:t xml:space="preserve"> </w:t>
      </w:r>
      <w:r>
        <w:rPr>
          <w:bCs/>
          <w:b/>
        </w:rPr>
        <w:t xml:space="preserve">Turkey</w:t>
      </w:r>
      <w:r>
        <w:t xml:space="preserve">.</w:t>
      </w:r>
    </w:p>
    <w:bookmarkEnd w:id="27"/>
    <w:bookmarkStart w:id="28" w:name="areas-for-improvement"/>
    <w:p>
      <w:pPr>
        <w:pStyle w:val="Heading2"/>
      </w:pPr>
      <w:r>
        <w:t xml:space="preserve">6. Areas for Improvement</w:t>
      </w:r>
    </w:p>
    <w:p>
      <w:pPr>
        <w:pStyle w:val="FirstParagraph"/>
      </w:pPr>
      <w:r>
        <w:t xml:space="preserve">While the overall performance is exemplary, this</w:t>
      </w:r>
      <w:r>
        <w:t xml:space="preserve"> </w:t>
      </w:r>
      <w:r>
        <w:rPr>
          <w:bCs/>
          <w:b/>
        </w:rPr>
        <w:t xml:space="preserve">Peer Review Report</w:t>
      </w:r>
      <w:r>
        <w:t xml:space="preserve"> </w:t>
      </w:r>
      <w:r>
        <w:t xml:space="preserve">identifies specific areas for enhancement:</w:t>
      </w:r>
    </w:p>
    <w:p>
      <w:pPr>
        <w:numPr>
          <w:ilvl w:val="0"/>
          <w:numId w:val="1002"/>
        </w:numPr>
        <w:pStyle w:val="Compact"/>
      </w:pPr>
      <w:r>
        <w:rPr>
          <w:bCs/>
          <w:b/>
        </w:rPr>
        <w:t xml:space="preserve">Digital Transformation:</w:t>
      </w:r>
      <w:r>
        <w:t xml:space="preserve"> </w:t>
      </w:r>
      <w:r>
        <w:t xml:space="preserve">The Chemist is encouraged to accelerate the adoption of Laboratory Information Management Systems (LIMS) to further streamline data integrity processes.</w:t>
      </w:r>
    </w:p>
    <w:p>
      <w:pPr>
        <w:numPr>
          <w:ilvl w:val="0"/>
          <w:numId w:val="1002"/>
        </w:numPr>
        <w:pStyle w:val="Compact"/>
      </w:pPr>
      <w:r>
        <w:rPr>
          <w:bCs/>
          <w:b/>
        </w:rPr>
        <w:t xml:space="preserve">Green Chemistry:</w:t>
      </w:r>
      <w:r>
        <w:t xml:space="preserve"> </w:t>
      </w:r>
      <w:r>
        <w:t xml:space="preserve">There is an opportunity to implement more sustainable solvent systems in routine analyses, aligning with global trends in green chemistry.</w:t>
      </w:r>
    </w:p>
    <w:p>
      <w:pPr>
        <w:numPr>
          <w:ilvl w:val="0"/>
          <w:numId w:val="1002"/>
        </w:numPr>
        <w:pStyle w:val="Compact"/>
      </w:pPr>
      <w:r>
        <w:rPr>
          <w:bCs/>
          <w:b/>
        </w:rPr>
        <w:t xml:space="preserve">Interdisciplinary Collaboration:</w:t>
      </w:r>
      <w:r>
        <w:t xml:space="preserve"> </w:t>
      </w:r>
      <w:r>
        <w:t xml:space="preserve">Increasing collaboration with clinical researchers in Ankara hospitals could enhance the translational impact of the Chemist's analytical work.</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Chemist</w:t>
      </w:r>
      <w:r>
        <w:t xml:space="preserve"> </w:t>
      </w:r>
      <w:r>
        <w:t xml:space="preserve">under review is a highly competent professional who operates with integrity and technical excellence. Their contributions to the pharmaceutical sector in</w:t>
      </w:r>
      <w:r>
        <w:t xml:space="preserve"> </w:t>
      </w:r>
      <w:r>
        <w:rPr>
          <w:bCs/>
          <w:b/>
        </w:rPr>
        <w:t xml:space="preserve">Turkey, Ankara</w:t>
      </w:r>
      <w:r>
        <w:t xml:space="preserve"> </w:t>
      </w:r>
      <w:r>
        <w:t xml:space="preserve">are significant and align with both national regulations and international best practices. The recommendations provided herein are intended to support their continued growth and ensure the sustained quality of their scientific output.</w:t>
      </w:r>
    </w:p>
    <w:p>
      <w:pPr>
        <w:pStyle w:val="BodyText"/>
      </w:pPr>
      <w:r>
        <w:t xml:space="preserve">The review panel recommends the renewal of professional accreditation and encourages the Chemist to pursue the suggested improvements to maintain their standing as a leader in the field.</w:t>
      </w:r>
    </w:p>
    <w:bookmarkEnd w:id="29"/>
    <w:p>
      <w:pPr>
        <w:pStyle w:val="BodyText"/>
      </w:pPr>
      <w:r>
        <w:rPr>
          <w:bCs/>
          <w:b/>
        </w:rPr>
        <w:t xml:space="preserve">Prepared By:</w:t>
      </w:r>
    </w:p>
    <w:p>
      <w:pPr>
        <w:pStyle w:val="BodyText"/>
      </w:pPr>
      <w:r>
        <w:t xml:space="preserve">Dr. A. Yılmaz</w:t>
      </w:r>
      <w:r>
        <w:br/>
      </w:r>
      <w:r>
        <w:t xml:space="preserve">Senior Reviewer</w:t>
      </w:r>
    </w:p>
    <w:p>
      <w:pPr>
        <w:pStyle w:val="BodyText"/>
      </w:pPr>
      <w:r>
        <w:rPr>
          <w:bCs/>
          <w:b/>
        </w:rPr>
        <w:t xml:space="preserve">Approved By:</w:t>
      </w:r>
    </w:p>
    <w:p>
      <w:pPr>
        <w:pStyle w:val="BodyText"/>
      </w:pPr>
      <w:r>
        <w:t xml:space="preserve">Prof. M. Demir</w:t>
      </w:r>
      <w:r>
        <w:br/>
      </w:r>
      <w:r>
        <w:t xml:space="preserve">Head of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Evaluation - Ankara, Turkey</dc:title>
  <dc:creator/>
  <dc:language>en</dc:language>
  <cp:keywords/>
  <dcterms:created xsi:type="dcterms:W3CDTF">2026-10-10T06:41:25Z</dcterms:created>
  <dcterms:modified xsi:type="dcterms:W3CDTF">2026-10-10T06:41:25Z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