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peer-review-report"/>
    <w:p>
      <w:pPr>
        <w:pStyle w:val="Heading1"/>
      </w:pPr>
      <w:r>
        <w:t xml:space="preserve">Peer Review Report</w:t>
      </w:r>
    </w:p>
    <w:bookmarkStart w:id="20" w:name="Xfb0b2caedadf0556ec4721f225d707c30c449d8"/>
    <w:p>
      <w:pPr>
        <w:pStyle w:val="Heading2"/>
      </w:pPr>
      <w:r>
        <w:t xml:space="preserve">Professional Competency Assessment for Chemist</w:t>
      </w:r>
    </w:p>
    <w:p>
      <w:pPr>
        <w:pStyle w:val="FirstParagraph"/>
      </w:pPr>
      <w:r>
        <w:rPr>
          <w:bCs/>
          <w:b/>
        </w:rPr>
        <w:t xml:space="preserve">Jurisdiction:</w:t>
      </w:r>
      <w:r>
        <w:t xml:space="preserve"> </w:t>
      </w:r>
      <w:r>
        <w:t xml:space="preserve">United Arab Emirates, Dubai</w:t>
      </w:r>
    </w:p>
    <w:p>
      <w:pPr>
        <w:pStyle w:val="BodyText"/>
      </w:pPr>
      <w:r>
        <w:rPr>
          <w:bCs/>
          <w:b/>
        </w:rPr>
        <w:t xml:space="preserve">Date of Report:</w:t>
      </w:r>
      <w:r>
        <w:t xml:space="preserve"> </w:t>
      </w:r>
      <w:r>
        <w:t xml:space="preserve">October 24, 2023</w:t>
      </w:r>
    </w:p>
    <w:p>
      <w:pPr>
        <w:pStyle w:val="BodyText"/>
      </w:pPr>
      <w:r>
        <w:rPr>
          <w:bCs/>
          <w:b/>
        </w:rPr>
        <w:t xml:space="preserve">Reference Number:</w:t>
      </w:r>
      <w:r>
        <w:t xml:space="preserve"> </w:t>
      </w:r>
      <w:r>
        <w:t xml:space="preserve">DHA-CHEM-PR-2023-8942</w:t>
      </w:r>
    </w:p>
    <w:bookmarkEnd w:id="20"/>
    <w:bookmarkEnd w:id="21"/>
    <w:bookmarkStart w:id="22" w:name="introduction-and-scope"/>
    <w:p>
      <w:pPr>
        <w:pStyle w:val="Heading3"/>
      </w:pPr>
      <w:r>
        <w:t xml:space="preserve">1. Introduction and Scope</w:t>
      </w:r>
    </w:p>
    <w:p>
      <w:pPr>
        <w:pStyle w:val="FirstParagraph"/>
      </w:pPr>
      <w:r>
        <w:t xml:space="preserve">This Peer Review Report has been prepared in accordance with the regulatory standards set forth by the Dubai Health Authority (DHA) and the Ministry of Health and Prevention (MOHAP) of the United Arab Emirates. The purpose of this document is to evaluate the professional competence, technical proficiency, and ethical conduct of the subject Chemist. This assessment is critical for ensuring that healthcare professionals operating within Dubai maintain the highest standards of pharmaceutical care, patient safety, and regulatory compliance.</w:t>
      </w:r>
    </w:p>
    <w:p>
      <w:pPr>
        <w:pStyle w:val="BodyText"/>
      </w:pPr>
      <w:r>
        <w:t xml:space="preserve">The review focuses on the Chemist's ability to manage pharmaceutical operations, ensure medication safety, and adhere to the specific legal frameworks governing the practice of pharmacy in the United Arab Emirates. The evaluation covers clinical knowledge, operational management, and adherence to Good Pharmacy Practice (GPP) guidelines specific to the region.</w:t>
      </w:r>
    </w:p>
    <w:bookmarkEnd w:id="22"/>
    <w:bookmarkStart w:id="23" w:name="subject-profile"/>
    <w:p>
      <w:pPr>
        <w:pStyle w:val="Heading3"/>
      </w:pPr>
      <w:r>
        <w:t xml:space="preserve">2. Subject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Chemist</w:t>
            </w:r>
          </w:p>
        </w:tc>
        <w:tc>
          <w:tcPr/>
          <w:p>
            <w:pPr>
              <w:pStyle w:val="Compact"/>
              <w:jc w:val="left"/>
            </w:pPr>
            <w:r>
              <w:t xml:space="preserve">[Name Redacted for Confidentiality]</w:t>
            </w:r>
          </w:p>
        </w:tc>
      </w:tr>
      <w:tr>
        <w:tc>
          <w:tcPr/>
          <w:p>
            <w:pPr>
              <w:pStyle w:val="Compact"/>
              <w:jc w:val="left"/>
            </w:pPr>
            <w:r>
              <w:t xml:space="preserve">License Number</w:t>
            </w:r>
          </w:p>
        </w:tc>
        <w:tc>
          <w:tcPr/>
          <w:p>
            <w:pPr>
              <w:pStyle w:val="Compact"/>
              <w:jc w:val="left"/>
            </w:pPr>
            <w:r>
              <w:t xml:space="preserve">DHA-LIC-XXXXXX</w:t>
            </w:r>
          </w:p>
        </w:tc>
      </w:tr>
      <w:tr>
        <w:tc>
          <w:tcPr/>
          <w:p>
            <w:pPr>
              <w:pStyle w:val="Compact"/>
              <w:jc w:val="left"/>
            </w:pPr>
            <w:r>
              <w:t xml:space="preserve">Current Facility</w:t>
            </w:r>
          </w:p>
        </w:tc>
        <w:tc>
          <w:tcPr/>
          <w:p>
            <w:pPr>
              <w:pStyle w:val="Compact"/>
              <w:jc w:val="left"/>
            </w:pPr>
            <w:r>
              <w:t xml:space="preserve">[Facility Name], Dubai Healthcare City</w:t>
            </w:r>
          </w:p>
        </w:tc>
      </w:tr>
      <w:tr>
        <w:tc>
          <w:tcPr/>
          <w:p>
            <w:pPr>
              <w:pStyle w:val="Compact"/>
              <w:jc w:val="left"/>
            </w:pPr>
            <w:r>
              <w:t xml:space="preserve">Specialization</w:t>
            </w:r>
          </w:p>
        </w:tc>
        <w:tc>
          <w:tcPr/>
          <w:p>
            <w:pPr>
              <w:pStyle w:val="Compact"/>
              <w:jc w:val="left"/>
            </w:pPr>
            <w:r>
              <w:t xml:space="preserve">Clinical Pharmacy / Community Pharmacy</w:t>
            </w:r>
          </w:p>
        </w:tc>
      </w:tr>
      <w:tr>
        <w:tc>
          <w:tcPr/>
          <w:p>
            <w:pPr>
              <w:pStyle w:val="Compact"/>
              <w:jc w:val="left"/>
            </w:pPr>
            <w:r>
              <w:t xml:space="preserve">Years of Experience</w:t>
            </w:r>
          </w:p>
        </w:tc>
        <w:tc>
          <w:tcPr/>
          <w:p>
            <w:pPr>
              <w:pStyle w:val="Compact"/>
              <w:jc w:val="left"/>
            </w:pPr>
            <w:r>
              <w:t xml:space="preserve">8 Years</w:t>
            </w:r>
          </w:p>
        </w:tc>
      </w:tr>
    </w:tbl>
    <w:bookmarkEnd w:id="23"/>
    <w:bookmarkStart w:id="24" w:name="evaluation-criteria-and-methodology"/>
    <w:p>
      <w:pPr>
        <w:pStyle w:val="Heading3"/>
      </w:pPr>
      <w:r>
        <w:t xml:space="preserve">3. Evaluation Criteria and Methodology</w:t>
      </w:r>
    </w:p>
    <w:p>
      <w:pPr>
        <w:pStyle w:val="FirstParagraph"/>
      </w:pPr>
      <w:r>
        <w:t xml:space="preserve">The peer review process involved a comprehensive analysis of the Chemist's performance over the preceding twelve months. The methodology included direct observation of dispensing practices, review of prescription audits, assessment of inventory management protocols, and interviews with supervising pharmacists and healthcare staff. The evaluation was conducted against the following key criteria relevant to the United Arab Emirates Dubai healthcare sector:</w:t>
      </w:r>
    </w:p>
    <w:p>
      <w:pPr>
        <w:numPr>
          <w:ilvl w:val="0"/>
          <w:numId w:val="1001"/>
        </w:numPr>
        <w:pStyle w:val="Compact"/>
      </w:pPr>
      <w:r>
        <w:rPr>
          <w:bCs/>
          <w:b/>
        </w:rPr>
        <w:t xml:space="preserve">Regulatory Compliance:</w:t>
      </w:r>
      <w:r>
        <w:t xml:space="preserve"> </w:t>
      </w:r>
      <w:r>
        <w:t xml:space="preserve">Adherence to UAE Federal Law No. 4 of 2016 regarding the regulation of medicinal products and DHA specific bylaws.</w:t>
      </w:r>
    </w:p>
    <w:p>
      <w:pPr>
        <w:numPr>
          <w:ilvl w:val="0"/>
          <w:numId w:val="1001"/>
        </w:numPr>
        <w:pStyle w:val="Compact"/>
      </w:pPr>
      <w:r>
        <w:rPr>
          <w:bCs/>
          <w:b/>
        </w:rPr>
        <w:t xml:space="preserve">Clinical Competence:</w:t>
      </w:r>
      <w:r>
        <w:t xml:space="preserve"> </w:t>
      </w:r>
      <w:r>
        <w:t xml:space="preserve">Accuracy in drug selection, dosage calculation, and identification of drug-drug interactions.</w:t>
      </w:r>
    </w:p>
    <w:p>
      <w:pPr>
        <w:numPr>
          <w:ilvl w:val="0"/>
          <w:numId w:val="1001"/>
        </w:numPr>
        <w:pStyle w:val="Compact"/>
      </w:pPr>
      <w:r>
        <w:rPr>
          <w:bCs/>
          <w:b/>
        </w:rPr>
        <w:t xml:space="preserve">Patient Counseling:</w:t>
      </w:r>
      <w:r>
        <w:t xml:space="preserve"> </w:t>
      </w:r>
      <w:r>
        <w:t xml:space="preserve">Effectiveness in communicating medication instructions to a diverse, multicultural patient population typical of Dubai.</w:t>
      </w:r>
    </w:p>
    <w:p>
      <w:pPr>
        <w:numPr>
          <w:ilvl w:val="0"/>
          <w:numId w:val="1001"/>
        </w:numPr>
        <w:pStyle w:val="Compact"/>
      </w:pPr>
      <w:r>
        <w:rPr>
          <w:bCs/>
          <w:b/>
        </w:rPr>
        <w:t xml:space="preserve">Operational Excellence:</w:t>
      </w:r>
      <w:r>
        <w:t xml:space="preserve"> </w:t>
      </w:r>
      <w:r>
        <w:t xml:space="preserve">Management of controlled substances, cold chain integrity, and pharmacy inventory systems.</w:t>
      </w:r>
    </w:p>
    <w:bookmarkEnd w:id="24"/>
    <w:bookmarkStart w:id="29" w:name="detailed-findings"/>
    <w:p>
      <w:pPr>
        <w:pStyle w:val="Heading3"/>
      </w:pPr>
      <w:r>
        <w:t xml:space="preserve">4. Detailed Findings</w:t>
      </w:r>
    </w:p>
    <w:bookmarkStart w:id="25" w:name="clinical-knowledge-and-medication-safety"/>
    <w:p>
      <w:pPr>
        <w:pStyle w:val="Heading4"/>
      </w:pPr>
      <w:r>
        <w:t xml:space="preserve">4.1 Clinical Knowledge and Medication Safety</w:t>
      </w:r>
    </w:p>
    <w:p>
      <w:pPr>
        <w:pStyle w:val="FirstParagraph"/>
      </w:pPr>
      <w:r>
        <w:t xml:space="preserve">The Chemist demonstrated a robust understanding of pharmacotherapy and clinical guidelines. During the review of prescription audits, the error rate was found to be significantly below the acceptable threshold mandated by Dubai health regulations. The Chemist exhibited exceptional skill in identifying potential adverse drug reactions and appropriately consulting with physicians to adjust therapy. This is particularly vital in the United Arab Emirates, where the prevalence of chronic conditions such as diabetes and hypertension requires meticulous pharmaceutical management.</w:t>
      </w:r>
    </w:p>
    <w:bookmarkEnd w:id="25"/>
    <w:bookmarkStart w:id="26" w:name="X8acdece42ed02f212ba0e4478bd78f02edf7ef6"/>
    <w:p>
      <w:pPr>
        <w:pStyle w:val="Heading4"/>
      </w:pPr>
      <w:r>
        <w:t xml:space="preserve">4.2 Regulatory Adherence and Controlled Substances</w:t>
      </w:r>
    </w:p>
    <w:p>
      <w:pPr>
        <w:pStyle w:val="FirstParagraph"/>
      </w:pPr>
      <w:r>
        <w:t xml:space="preserve">A critical aspect of this Peer Review Report is the assessment of compliance with controlled substance regulations. The Chemist maintained impeccable records for narcotics and psychotropic substances, fully aligning with the strict requirements of the UAE Ministry of Health. The storage, documentation, and disposal of these medications were observed to be secure and transparent. There were no discrepancies found in the inventory logs, demonstrating a high level of integrity and attention to detail.</w:t>
      </w:r>
    </w:p>
    <w:bookmarkEnd w:id="26"/>
    <w:bookmarkStart w:id="27" w:name="patient-care-and-communication"/>
    <w:p>
      <w:pPr>
        <w:pStyle w:val="Heading4"/>
      </w:pPr>
      <w:r>
        <w:t xml:space="preserve">4.3 Patient Care and Communication</w:t>
      </w:r>
    </w:p>
    <w:p>
      <w:pPr>
        <w:pStyle w:val="FirstParagraph"/>
      </w:pPr>
      <w:r>
        <w:t xml:space="preserve">Given the cosmopolitan nature of Dubai, the ability to communicate effectively with patients from various cultural and linguistic backgrounds is essential. The Chemist was observed providing clear, empathetic, and accurate counseling to patients. The review noted that the Chemist successfully utilized translation tools and culturally sensitive communication strategies to ensure patient understanding of medication regimens. This approach enhances medication adherence and overall patient outcomes within the community.</w:t>
      </w:r>
    </w:p>
    <w:bookmarkEnd w:id="27"/>
    <w:bookmarkStart w:id="28" w:name="professional-ethics-and-conduct"/>
    <w:p>
      <w:pPr>
        <w:pStyle w:val="Heading4"/>
      </w:pPr>
      <w:r>
        <w:t xml:space="preserve">4.4 Professional Ethics and Conduct</w:t>
      </w:r>
    </w:p>
    <w:p>
      <w:pPr>
        <w:pStyle w:val="FirstParagraph"/>
      </w:pPr>
      <w:r>
        <w:t xml:space="preserve">The Chemist adhered strictly to the Code of Ethics for Pharmacists in the United Arab Emirates. Professional interactions with colleagues, healthcare providers, and patients were respectful and collaborative. The Chemist actively participated in continuing professional development (CPD) activities, maintaining the required CPD points necessary for license renewal in Dubai.</w:t>
      </w:r>
    </w:p>
    <w:bookmarkEnd w:id="28"/>
    <w:bookmarkEnd w:id="29"/>
    <w:bookmarkStart w:id="30" w:name="areas-for-improvement"/>
    <w:p>
      <w:pPr>
        <w:pStyle w:val="Heading3"/>
      </w:pPr>
      <w:r>
        <w:t xml:space="preserve">5. Areas for Improvement</w:t>
      </w:r>
    </w:p>
    <w:p>
      <w:pPr>
        <w:pStyle w:val="FirstParagraph"/>
      </w:pPr>
      <w:r>
        <w:t xml:space="preserve">While the overall performance is commendable, the Peer Review Report identifies minor areas for enhancement. It is recommended that the Chemist further engage in specialized training regarding the latest advancements in biologic therapies, which are increasingly prescribed in Dubai's tertiary care centers. Additionally, while digital record-keeping is strong, there is an opportunity to optimize the use of automated dispensing systems to further reduce workflow bottlenecks during peak hours.</w:t>
      </w:r>
    </w:p>
    <w:bookmarkEnd w:id="30"/>
    <w:bookmarkStart w:id="31" w:name="conclusion-and-recommendation"/>
    <w:p>
      <w:pPr>
        <w:pStyle w:val="Heading3"/>
      </w:pPr>
      <w:r>
        <w:t xml:space="preserve">6. Conclusion and Recommendation</w:t>
      </w:r>
    </w:p>
    <w:p>
      <w:pPr>
        <w:pStyle w:val="FirstParagraph"/>
      </w:pPr>
      <w:r>
        <w:t xml:space="preserve">Based on the comprehensive evaluation conducted, this Peer Review Report concludes that the Chemist possesses the requisite knowledge, skills, and professional attributes to practice safely and effectively in the United Arab Emirates Dubai. The Chemist has demonstrated a commitment to patient safety, regulatory compliance, and high-quality pharmaceutical care.</w:t>
      </w:r>
    </w:p>
    <w:p>
      <w:pPr>
        <w:pStyle w:val="BodyText"/>
      </w:pPr>
      <w:r>
        <w:rPr>
          <w:bCs/>
          <w:b/>
        </w:rPr>
        <w:t xml:space="preserve">Recommendation:</w:t>
      </w:r>
      <w:r>
        <w:t xml:space="preserve"> </w:t>
      </w:r>
      <w:r>
        <w:t xml:space="preserve">The subject Chemist is recommended for</w:t>
      </w:r>
      <w:r>
        <w:t xml:space="preserve"> </w:t>
      </w:r>
      <w:r>
        <w:rPr>
          <w:bCs/>
          <w:b/>
        </w:rPr>
        <w:t xml:space="preserve">Full Re-licensure</w:t>
      </w:r>
      <w:r>
        <w:t xml:space="preserve"> </w:t>
      </w:r>
      <w:r>
        <w:t xml:space="preserve">without restrictions. The Chemist is encouraged to continue their professional development and maintain the high standards observed during this review period.</w:t>
      </w:r>
    </w:p>
    <w:bookmarkEnd w:id="31"/>
    <w:p>
      <w:pPr>
        <w:pStyle w:val="BodyText"/>
      </w:pPr>
      <w:r>
        <w:rPr>
          <w:bCs/>
          <w:b/>
        </w:rPr>
        <w:t xml:space="preserve">Reviewed By:</w:t>
      </w:r>
    </w:p>
    <w:p>
      <w:pPr>
        <w:pStyle w:val="BodyText"/>
      </w:pPr>
      <w:r>
        <w:t xml:space="preserve">Dr. Ahmed Al-Mansouri</w:t>
      </w:r>
    </w:p>
    <w:p>
      <w:pPr>
        <w:pStyle w:val="BodyText"/>
      </w:pPr>
      <w:r>
        <w:t xml:space="preserve">Senior Clinical Pharmacist</w:t>
      </w:r>
    </w:p>
    <w:p>
      <w:pPr>
        <w:pStyle w:val="BodyText"/>
      </w:pPr>
      <w:r>
        <w:t xml:space="preserve">Dubai Health Authority Accredited Reviewer</w:t>
      </w:r>
    </w:p>
    <w:p>
      <w:pPr>
        <w:pStyle w:val="BodyText"/>
      </w:pPr>
      <w:r>
        <w:t xml:space="preserve">Signature</w:t>
      </w:r>
    </w:p>
    <w:p>
      <w:pPr>
        <w:pStyle w:val="BodyText"/>
      </w:pPr>
      <w:r>
        <w:rPr>
          <w:bCs/>
          <w:b/>
        </w:rPr>
        <w:t xml:space="preserve">Approved By:</w:t>
      </w:r>
    </w:p>
    <w:p>
      <w:pPr>
        <w:pStyle w:val="BodyText"/>
      </w:pPr>
      <w:r>
        <w:t xml:space="preserve">Sarah Johnson, RPh</w:t>
      </w:r>
    </w:p>
    <w:p>
      <w:pPr>
        <w:pStyle w:val="BodyText"/>
      </w:pPr>
      <w:r>
        <w:t xml:space="preserve">Director of Pharmacy Services</w:t>
      </w:r>
    </w:p>
    <w:p>
      <w:pPr>
        <w:pStyle w:val="BodyText"/>
      </w:pPr>
      <w:r>
        <w:t xml:space="preserve">[Facility Name], Dubai</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United Arab Emirates Dubai</dc:title>
  <dc:creator/>
  <dc:language>en</dc:language>
  <cp:keywords/>
  <dcterms:created xsi:type="dcterms:W3CDTF">2026-10-10T09:23:06Z</dcterms:created>
  <dcterms:modified xsi:type="dcterms:W3CDTF">2026-10-10T09:23:06Z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