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Civil Engineer Performance and Competency</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competency, technical expertise, and overall performance of a Civil Engineer operating within the dynamic construction landscape of Qatar Doha. The purpose of this review is to ensure that the engineer adheres to the highest standards of practice, complies with local regulations, and contributes effectively to the successful delivery of infrastructure and building projects in the region.</w:t>
      </w:r>
    </w:p>
    <w:p>
      <w:pPr>
        <w:pStyle w:val="BodyText"/>
      </w:pPr>
      <w:r>
        <w:t xml:space="preserve">The review process involves a comprehensive evaluation of the engineer's work, including design documentation, project management practices, adherence to safety protocols, and collaboration with multidisciplinary teams. This report aims to provide constructive feedback and recommendations for continuous improvement.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civil engineering design and analysis.</w:t>
      </w:r>
    </w:p>
    <w:p>
      <w:pPr>
        <w:numPr>
          <w:ilvl w:val="0"/>
          <w:numId w:val="1001"/>
        </w:numPr>
        <w:pStyle w:val="Compact"/>
      </w:pPr>
      <w:r>
        <w:t xml:space="preserve">Compliance with Qatar Doha municipal codes and international standards.</w:t>
      </w:r>
    </w:p>
    <w:p>
      <w:pPr>
        <w:numPr>
          <w:ilvl w:val="0"/>
          <w:numId w:val="1001"/>
        </w:numPr>
        <w:pStyle w:val="Compact"/>
      </w:pPr>
      <w:r>
        <w:t xml:space="preserve">Project management and coordination skills.</w:t>
      </w:r>
    </w:p>
    <w:p>
      <w:pPr>
        <w:numPr>
          <w:ilvl w:val="0"/>
          <w:numId w:val="1001"/>
        </w:numPr>
        <w:pStyle w:val="Compact"/>
      </w:pPr>
      <w:r>
        <w:t xml:space="preserve">Quality assurance and control measures.</w:t>
      </w:r>
    </w:p>
    <w:p>
      <w:pPr>
        <w:numPr>
          <w:ilvl w:val="0"/>
          <w:numId w:val="1001"/>
        </w:numPr>
        <w:pStyle w:val="Compact"/>
      </w:pPr>
      <w:r>
        <w:t xml:space="preserve">Health, safety, and environmental (HSE) practices.</w:t>
      </w:r>
    </w:p>
    <w:p>
      <w:pPr>
        <w:numPr>
          <w:ilvl w:val="0"/>
          <w:numId w:val="1001"/>
        </w:numPr>
        <w:pStyle w:val="Compact"/>
      </w:pPr>
      <w:r>
        <w:t xml:space="preserve">Professional conduct and communication.</w:t>
      </w:r>
    </w:p>
    <w:bookmarkEnd w:id="22"/>
    <w:bookmarkStart w:id="23" w:name="evaluation-criteria"/>
    <w:p>
      <w:pPr>
        <w:pStyle w:val="Heading2"/>
      </w:pPr>
      <w:r>
        <w:t xml:space="preserve">3.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Rating (1-5)</w:t>
            </w:r>
          </w:p>
        </w:tc>
      </w:tr>
      <w:tr>
        <w:tc>
          <w:tcPr/>
          <w:p>
            <w:pPr>
              <w:pStyle w:val="Compact"/>
              <w:jc w:val="left"/>
            </w:pPr>
            <w:r>
              <w:t xml:space="preserve">Technical Expertise</w:t>
            </w:r>
          </w:p>
        </w:tc>
        <w:tc>
          <w:tcPr/>
          <w:p>
            <w:pPr>
              <w:pStyle w:val="Compact"/>
              <w:jc w:val="left"/>
            </w:pPr>
            <w:r>
              <w:t xml:space="preserve">Ability to apply engineering principles and solve complex problems.</w:t>
            </w:r>
          </w:p>
        </w:tc>
        <w:tc>
          <w:tcPr/>
          <w:p>
            <w:pPr>
              <w:pStyle w:val="Compact"/>
              <w:jc w:val="left"/>
            </w:pPr>
            <w:r>
              <w:t xml:space="preserve">4</w:t>
            </w:r>
          </w:p>
        </w:tc>
      </w:tr>
      <w:tr>
        <w:tc>
          <w:tcPr/>
          <w:p>
            <w:pPr>
              <w:pStyle w:val="Compact"/>
              <w:jc w:val="left"/>
            </w:pPr>
            <w:r>
              <w:t xml:space="preserve">Regulatory Compliance</w:t>
            </w:r>
          </w:p>
        </w:tc>
        <w:tc>
          <w:tcPr/>
          <w:p>
            <w:pPr>
              <w:pStyle w:val="Compact"/>
              <w:jc w:val="left"/>
            </w:pPr>
            <w:r>
              <w:t xml:space="preserve">Adherence to Qatar Doha building codes and standards.</w:t>
            </w:r>
          </w:p>
        </w:tc>
        <w:tc>
          <w:tcPr/>
          <w:p>
            <w:pPr>
              <w:pStyle w:val="Compact"/>
              <w:jc w:val="left"/>
            </w:pPr>
            <w:r>
              <w:t xml:space="preserve">5</w:t>
            </w:r>
          </w:p>
        </w:tc>
      </w:tr>
      <w:tr>
        <w:tc>
          <w:tcPr/>
          <w:p>
            <w:pPr>
              <w:pStyle w:val="Compact"/>
              <w:jc w:val="left"/>
            </w:pPr>
            <w:r>
              <w:t xml:space="preserve">Project Management</w:t>
            </w:r>
          </w:p>
        </w:tc>
        <w:tc>
          <w:tcPr/>
          <w:p>
            <w:pPr>
              <w:pStyle w:val="Compact"/>
              <w:jc w:val="left"/>
            </w:pPr>
            <w:r>
              <w:t xml:space="preserve">Effectiveness in planning, executing, and closing projects.</w:t>
            </w:r>
          </w:p>
        </w:tc>
        <w:tc>
          <w:tcPr/>
          <w:p>
            <w:pPr>
              <w:pStyle w:val="Compact"/>
              <w:jc w:val="left"/>
            </w:pPr>
            <w:r>
              <w:t xml:space="preserve">4</w:t>
            </w:r>
          </w:p>
        </w:tc>
      </w:tr>
      <w:tr>
        <w:tc>
          <w:tcPr/>
          <w:p>
            <w:pPr>
              <w:pStyle w:val="Compact"/>
              <w:jc w:val="left"/>
            </w:pPr>
            <w:r>
              <w:t xml:space="preserve">Quality Assurance</w:t>
            </w:r>
          </w:p>
        </w:tc>
        <w:tc>
          <w:tcPr/>
          <w:p>
            <w:pPr>
              <w:pStyle w:val="Compact"/>
              <w:jc w:val="left"/>
            </w:pPr>
            <w:r>
              <w:t xml:space="preserve">Implementation of quality control measures.</w:t>
            </w:r>
          </w:p>
        </w:tc>
        <w:tc>
          <w:tcPr/>
          <w:p>
            <w:pPr>
              <w:pStyle w:val="Compact"/>
              <w:jc w:val="left"/>
            </w:pPr>
            <w:r>
              <w:t xml:space="preserve">4</w:t>
            </w:r>
          </w:p>
        </w:tc>
      </w:tr>
      <w:tr>
        <w:tc>
          <w:tcPr/>
          <w:p>
            <w:pPr>
              <w:pStyle w:val="Compact"/>
              <w:jc w:val="left"/>
            </w:pPr>
            <w:r>
              <w:t xml:space="preserve">HSE Practices</w:t>
            </w:r>
          </w:p>
        </w:tc>
        <w:tc>
          <w:tcPr/>
          <w:p>
            <w:pPr>
              <w:pStyle w:val="Compact"/>
              <w:jc w:val="left"/>
            </w:pPr>
            <w:r>
              <w:t xml:space="preserve">Commitment to safety and environmental sustainability.</w:t>
            </w:r>
          </w:p>
        </w:tc>
        <w:tc>
          <w:tcPr/>
          <w:p>
            <w:pPr>
              <w:pStyle w:val="Compact"/>
              <w:jc w:val="left"/>
            </w:pPr>
            <w:r>
              <w:t xml:space="preserve">5</w:t>
            </w:r>
          </w:p>
        </w:tc>
      </w:tr>
      <w:tr>
        <w:tc>
          <w:tcPr/>
          <w:p>
            <w:pPr>
              <w:pStyle w:val="Compact"/>
              <w:jc w:val="left"/>
            </w:pPr>
            <w:r>
              <w:t xml:space="preserve">Communication</w:t>
            </w:r>
          </w:p>
        </w:tc>
        <w:tc>
          <w:tcPr/>
          <w:p>
            <w:pPr>
              <w:pStyle w:val="Compact"/>
              <w:jc w:val="left"/>
            </w:pPr>
            <w:r>
              <w:t xml:space="preserve">Clarity and effectiveness in professional interactions.</w:t>
            </w:r>
          </w:p>
        </w:tc>
        <w:tc>
          <w:tcPr/>
          <w:p>
            <w:pPr>
              <w:pStyle w:val="Compact"/>
              <w:jc w:val="left"/>
            </w:pPr>
            <w:r>
              <w:t xml:space="preserve">4</w:t>
            </w:r>
          </w:p>
        </w:tc>
      </w:tr>
    </w:tbl>
    <w:bookmarkEnd w:id="23"/>
    <w:bookmarkStart w:id="30" w:name="detailed-assessment"/>
    <w:p>
      <w:pPr>
        <w:pStyle w:val="Heading2"/>
      </w:pPr>
      <w:r>
        <w:t xml:space="preserve">4. Detailed Assessment</w:t>
      </w:r>
    </w:p>
    <w:bookmarkStart w:id="24" w:name="technical-expertise"/>
    <w:p>
      <w:pPr>
        <w:pStyle w:val="Heading3"/>
      </w:pPr>
      <w:r>
        <w:t xml:space="preserve">4.1 Technical Expertise</w:t>
      </w:r>
    </w:p>
    <w:p>
      <w:pPr>
        <w:pStyle w:val="FirstParagraph"/>
      </w:pPr>
      <w:r>
        <w:t xml:space="preserve">The Civil Engineer demonstrates a strong foundation in structural analysis, geotechnical engineering, and hydraulic systems. Their ability to utilize advanced software tools for design and simulation is commendable. However, there is room for improvement in integrating innovative construction technologies that are increasingly prevalent in Qatar Doha's ambitious development projects.</w:t>
      </w:r>
    </w:p>
    <w:bookmarkEnd w:id="24"/>
    <w:bookmarkStart w:id="25" w:name="regulatory-compliance"/>
    <w:p>
      <w:pPr>
        <w:pStyle w:val="Heading3"/>
      </w:pPr>
      <w:r>
        <w:t xml:space="preserve">4.2 Regulatory Compliance</w:t>
      </w:r>
    </w:p>
    <w:p>
      <w:pPr>
        <w:pStyle w:val="FirstParagraph"/>
      </w:pPr>
      <w:r>
        <w:t xml:space="preserve">The engineer consistently adheres to the Qatar Doha municipal regulations and international standards such as Eurocodes and ASTM. Their thorough understanding of local requirements ensures that projects meet all necessary approvals and inspections. This aspect is particularly crucial given the stringent regulatory environment in Qatar.</w:t>
      </w:r>
    </w:p>
    <w:bookmarkEnd w:id="25"/>
    <w:bookmarkStart w:id="26" w:name="project-management"/>
    <w:p>
      <w:pPr>
        <w:pStyle w:val="Heading3"/>
      </w:pPr>
      <w:r>
        <w:t xml:space="preserve">4.3 Project Management</w:t>
      </w:r>
    </w:p>
    <w:p>
      <w:pPr>
        <w:pStyle w:val="FirstParagraph"/>
      </w:pPr>
      <w:r>
        <w:t xml:space="preserve">Project management skills are robust, with effective planning and resource allocation. The engineer successfully coordinates with architects, contractors, and consultants to ensure timely project delivery. Nevertheless, enhancing risk management strategies could further mitigate potential delays and cost overruns.</w:t>
      </w:r>
    </w:p>
    <w:bookmarkEnd w:id="26"/>
    <w:bookmarkStart w:id="27" w:name="quality-assurance"/>
    <w:p>
      <w:pPr>
        <w:pStyle w:val="Heading3"/>
      </w:pPr>
      <w:r>
        <w:t xml:space="preserve">4.4 Quality Assurance</w:t>
      </w:r>
    </w:p>
    <w:p>
      <w:pPr>
        <w:pStyle w:val="FirstParagraph"/>
      </w:pPr>
      <w:r>
        <w:t xml:space="preserve">Quality assurance practices are well-implemented, with regular inspections and testing protocols in place. The engineer's attention to detail contributes to the high quality of construction outcomes. Continuous improvement in documentation and reporting could enhance transparency and accountability.</w:t>
      </w:r>
    </w:p>
    <w:bookmarkEnd w:id="27"/>
    <w:bookmarkStart w:id="28" w:name="hse-practices"/>
    <w:p>
      <w:pPr>
        <w:pStyle w:val="Heading3"/>
      </w:pPr>
      <w:r>
        <w:t xml:space="preserve">4.5 HSE Practices</w:t>
      </w:r>
    </w:p>
    <w:p>
      <w:pPr>
        <w:pStyle w:val="FirstParagraph"/>
      </w:pPr>
      <w:r>
        <w:t xml:space="preserve">The engineer exhibits a strong commitment to health, safety, and environmental practices. Safety briefings, hazard assessments, and compliance with Qatar's HSE regulations are diligently maintained. Promoting a culture of safety among all project stakeholders is a notable strength.</w:t>
      </w:r>
    </w:p>
    <w:bookmarkEnd w:id="28"/>
    <w:bookmarkStart w:id="29" w:name="communication"/>
    <w:p>
      <w:pPr>
        <w:pStyle w:val="Heading3"/>
      </w:pPr>
      <w:r>
        <w:t xml:space="preserve">4.6 Communication</w:t>
      </w:r>
    </w:p>
    <w:p>
      <w:pPr>
        <w:pStyle w:val="FirstParagraph"/>
      </w:pPr>
      <w:r>
        <w:t xml:space="preserve">Communication skills are effective, with clear and concise reporting to clients and team members. The engineer's ability to convey technical information in an understandable manner facilitates collaboration. Improving cross-cultural communication strategies could further enhance interactions in Qatar's diverse work environment.</w:t>
      </w:r>
    </w:p>
    <w:bookmarkEnd w:id="29"/>
    <w:bookmarkEnd w:id="30"/>
    <w:bookmarkStart w:id="31" w:name="recommendations"/>
    <w:p>
      <w:pPr>
        <w:pStyle w:val="Heading2"/>
      </w:pPr>
      <w:r>
        <w:t xml:space="preserve">5. Recommendations</w:t>
      </w:r>
    </w:p>
    <w:p>
      <w:pPr>
        <w:numPr>
          <w:ilvl w:val="0"/>
          <w:numId w:val="1002"/>
        </w:numPr>
        <w:pStyle w:val="Compact"/>
      </w:pPr>
      <w:r>
        <w:t xml:space="preserve">Engage in continuous professional development to stay updated with emerging technologies and methodologies in civil engineering.</w:t>
      </w:r>
    </w:p>
    <w:p>
      <w:pPr>
        <w:numPr>
          <w:ilvl w:val="0"/>
          <w:numId w:val="1002"/>
        </w:numPr>
        <w:pStyle w:val="Compact"/>
      </w:pPr>
      <w:r>
        <w:t xml:space="preserve">Enhance risk management practices by incorporating advanced predictive analytics tools.</w:t>
      </w:r>
    </w:p>
    <w:p>
      <w:pPr>
        <w:numPr>
          <w:ilvl w:val="0"/>
          <w:numId w:val="1002"/>
        </w:numPr>
        <w:pStyle w:val="Compact"/>
      </w:pPr>
      <w:r>
        <w:t xml:space="preserve">Strengthen documentation processes to ensure comprehensive record-keeping and ease of audits.</w:t>
      </w:r>
    </w:p>
    <w:p>
      <w:pPr>
        <w:numPr>
          <w:ilvl w:val="0"/>
          <w:numId w:val="1002"/>
        </w:numPr>
        <w:pStyle w:val="Compact"/>
      </w:pPr>
      <w:r>
        <w:t xml:space="preserve">Promote cross-cultural training to improve communication and collaboration with international teams.</w:t>
      </w:r>
    </w:p>
    <w:bookmarkEnd w:id="31"/>
    <w:bookmarkStart w:id="32" w:name="conclusion"/>
    <w:p>
      <w:pPr>
        <w:pStyle w:val="Heading2"/>
      </w:pPr>
      <w:r>
        <w:t xml:space="preserve">6. Conclusion</w:t>
      </w:r>
    </w:p>
    <w:p>
      <w:pPr>
        <w:pStyle w:val="FirstParagraph"/>
      </w:pPr>
      <w:r>
        <w:t xml:space="preserve">In conclusion, the Civil Engineer under review demonstrates a high level of competency and professionalism, aligning well with the demands of Qatar Doha's construction industry. The strengths identified, particularly in regulatory compliance and HSE practices, are commendable. By addressing the areas for improvement outlined in this Peer Review Report, the engineer can further enhance their performance and contribute to the continued success of projects in Qatar Doha.</w:t>
      </w:r>
    </w:p>
    <w:bookmarkEnd w:id="32"/>
    <w:p>
      <w:pPr>
        <w:pStyle w:val="BodyText"/>
      </w:pPr>
      <w:r>
        <w:rPr>
          <w:bCs/>
          <w:b/>
        </w:rPr>
        <w:t xml:space="preserve">Prepared by:</w:t>
      </w:r>
    </w:p>
    <w:p>
      <w:pPr>
        <w:pStyle w:val="BodyText"/>
      </w:pPr>
      <w:r>
        <w:t xml:space="preserve">John Doe, P.E.</w:t>
      </w:r>
    </w:p>
    <w:p>
      <w:pPr>
        <w:pStyle w:val="BodyText"/>
      </w:pPr>
      <w:r>
        <w:t xml:space="preserve">Senior Civil Engineer</w:t>
      </w:r>
    </w:p>
    <w:p>
      <w:pPr>
        <w:pStyle w:val="BodyText"/>
      </w:pPr>
      <w:r>
        <w:t xml:space="preserve">Qatar Doha</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Qatar Doha</dc:title>
  <dc:creator/>
  <dc:language>en</dc:language>
  <cp:keywords/>
  <dcterms:created xsi:type="dcterms:W3CDTF">2026-10-10T01:06:47Z</dcterms:created>
  <dcterms:modified xsi:type="dcterms:W3CDTF">2026-10-10T01:06:47Z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